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A7F" w:rsidRDefault="00555A7F" w:rsidP="00555A7F">
      <w:pPr>
        <w:rPr>
          <w:rFonts w:ascii="Verdana" w:eastAsia="Times New Roman" w:hAnsi="Verdana"/>
          <w:color w:val="000000"/>
          <w:sz w:val="18"/>
          <w:szCs w:val="18"/>
        </w:rPr>
      </w:pPr>
      <w:r>
        <w:rPr>
          <w:rFonts w:ascii="Verdana" w:eastAsia="Times New Roman" w:hAnsi="Verdana"/>
          <w:color w:val="000000"/>
          <w:sz w:val="18"/>
          <w:szCs w:val="18"/>
        </w:rPr>
        <w:t xml:space="preserve">December 6, 2012 </w:t>
      </w:r>
      <w:r w:rsidRPr="00CB13FA">
        <w:rPr>
          <w:rFonts w:ascii="Verdana" w:eastAsia="Times New Roman" w:hAnsi="Verdana"/>
          <w:color w:val="000000"/>
          <w:sz w:val="18"/>
          <w:szCs w:val="18"/>
        </w:rPr>
        <w:t>Maintenance Cycle</w:t>
      </w:r>
      <w:r>
        <w:rPr>
          <w:rFonts w:ascii="Verdana" w:eastAsia="Times New Roman" w:hAnsi="Verdana"/>
          <w:color w:val="000000"/>
          <w:sz w:val="18"/>
          <w:szCs w:val="18"/>
        </w:rPr>
        <w:t xml:space="preserve"> - Language</w:t>
      </w:r>
      <w:r w:rsidRPr="00CB13FA">
        <w:rPr>
          <w:rFonts w:ascii="Verdana" w:eastAsia="Times New Roman" w:hAnsi="Verdana"/>
          <w:color w:val="000000"/>
          <w:sz w:val="18"/>
          <w:szCs w:val="18"/>
        </w:rPr>
        <w:t xml:space="preserve"> changes </w:t>
      </w:r>
      <w:r>
        <w:rPr>
          <w:rFonts w:ascii="Verdana" w:eastAsia="Times New Roman" w:hAnsi="Verdana"/>
          <w:color w:val="000000"/>
          <w:sz w:val="18"/>
          <w:szCs w:val="18"/>
        </w:rPr>
        <w:t xml:space="preserve">include the </w:t>
      </w:r>
      <w:r w:rsidRPr="00CB13FA">
        <w:rPr>
          <w:rFonts w:ascii="Verdana" w:eastAsia="Times New Roman" w:hAnsi="Verdana"/>
          <w:color w:val="000000"/>
          <w:sz w:val="18"/>
          <w:szCs w:val="18"/>
        </w:rPr>
        <w:t>follow</w:t>
      </w:r>
      <w:r>
        <w:rPr>
          <w:rFonts w:ascii="Verdana" w:eastAsia="Times New Roman" w:hAnsi="Verdana"/>
          <w:color w:val="000000"/>
          <w:sz w:val="18"/>
          <w:szCs w:val="18"/>
        </w:rPr>
        <w:t>ing</w:t>
      </w:r>
      <w:r w:rsidRPr="00CB13FA">
        <w:rPr>
          <w:rFonts w:ascii="Verdana" w:eastAsia="Times New Roman" w:hAnsi="Verdana"/>
          <w:color w:val="000000"/>
          <w:sz w:val="18"/>
          <w:szCs w:val="18"/>
        </w:rPr>
        <w:t>:</w:t>
      </w:r>
    </w:p>
    <w:p w:rsidR="00555A7F" w:rsidRDefault="00555A7F" w:rsidP="00555A7F">
      <w:bookmarkStart w:id="0" w:name="_GoBack"/>
      <w:bookmarkEnd w:id="0"/>
    </w:p>
    <w:p w:rsidR="00555A7F" w:rsidRDefault="00555A7F" w:rsidP="00555A7F">
      <w:pPr>
        <w:pStyle w:val="ListParagraph"/>
        <w:numPr>
          <w:ilvl w:val="0"/>
          <w:numId w:val="1"/>
        </w:numPr>
      </w:pPr>
      <w:r>
        <w:t xml:space="preserve">A correction to D21 on the Water Handling, Heavy Equipment, and Refrigerated Trailers templates to delete an extra “D” in the section number </w:t>
      </w:r>
      <w:proofErr w:type="gramStart"/>
      <w:r>
        <w:t>heading .</w:t>
      </w:r>
      <w:proofErr w:type="gramEnd"/>
    </w:p>
    <w:p w:rsidR="00555A7F" w:rsidRDefault="00555A7F" w:rsidP="00555A7F">
      <w:pPr>
        <w:pStyle w:val="ListParagraph"/>
      </w:pPr>
    </w:p>
    <w:p w:rsidR="00555A7F" w:rsidRDefault="00555A7F" w:rsidP="00555A7F">
      <w:pPr>
        <w:pStyle w:val="ListParagraph"/>
        <w:numPr>
          <w:ilvl w:val="0"/>
          <w:numId w:val="1"/>
        </w:numPr>
      </w:pPr>
      <w:r>
        <w:t xml:space="preserve">IAW CR0096, language was incorporated for AGAR Advisory 104, </w:t>
      </w:r>
      <w:proofErr w:type="spellStart"/>
      <w:r>
        <w:t>wrt</w:t>
      </w:r>
      <w:proofErr w:type="spellEnd"/>
      <w:r>
        <w:t xml:space="preserve"> Representation by Corporations Regarding an Unpaid Delinquent Tax Liability or a Felony Conviction AGAR 254, in C2 for all solicitations (Boilerplate).   A note, which will be called out in Block 14 of the subsequent amendment, will state the need for vendors to complete and submit the certification.  In addition, the “return” form, AGAR 452.209-70 Alt 1, will be made available and posted to the External Vendor App website at </w:t>
      </w:r>
      <w:hyperlink r:id="rId6" w:history="1">
        <w:r>
          <w:rPr>
            <w:rStyle w:val="Hyperlink"/>
          </w:rPr>
          <w:t>http://www.fs.fed.us/business/incident/vendorapp.php</w:t>
        </w:r>
      </w:hyperlink>
      <w:r>
        <w:t xml:space="preserve">  with instructions to vendors.   </w:t>
      </w:r>
    </w:p>
    <w:p w:rsidR="00555A7F" w:rsidRDefault="00555A7F" w:rsidP="00555A7F">
      <w:pPr>
        <w:pStyle w:val="ListParagraph"/>
      </w:pPr>
    </w:p>
    <w:p w:rsidR="00555A7F" w:rsidRDefault="00555A7F" w:rsidP="00555A7F">
      <w:pPr>
        <w:pStyle w:val="ListParagraph"/>
        <w:numPr>
          <w:ilvl w:val="0"/>
          <w:numId w:val="1"/>
        </w:numPr>
        <w:rPr>
          <w:i/>
          <w:iCs/>
        </w:rPr>
      </w:pPr>
      <w:r>
        <w:t xml:space="preserve">An oversight was corrected in D.2.1.2 (10) of the Tent template to include the specification for the extension cords for Type 3 &amp; 4 to read as follows:  </w:t>
      </w:r>
      <w:r>
        <w:rPr>
          <w:i/>
          <w:iCs/>
          <w:color w:val="0000FF"/>
        </w:rPr>
        <w:t xml:space="preserve">All extension cords must meet the testing and requirements of the Underwriters Laboratories (UL) and the Occupational Safety and Health Administration (OSHA). All cords must be three pronged, stamped “for exterior use” and have the letters SJTW stamped in the cord covering (S=Service Grade, also means extra hard service when not followed by J, V, or P; J=Hard Service; T=Thermoplastic; W=Outdoor- includes sunlight resistant jacket and wet location rated conductors (formerly "W-A")). The maximum length of each individual cord is 100 feet and the minimum wire size is 14 </w:t>
      </w:r>
      <w:proofErr w:type="gramStart"/>
      <w:r>
        <w:rPr>
          <w:i/>
          <w:iCs/>
          <w:color w:val="0000FF"/>
        </w:rPr>
        <w:t>gauge</w:t>
      </w:r>
      <w:proofErr w:type="gramEnd"/>
      <w:r>
        <w:rPr>
          <w:i/>
          <w:iCs/>
          <w:color w:val="0000FF"/>
        </w:rPr>
        <w:t>. A minimum of (4) four, exterior approved power outlets connected to a generator or local utility company to supply electricity for lighting, cooling and to small appliances such as laptop computers, chargers to phones or PDA’s and printers. All electrical outlets must be protected with a Ground Fault Circuit Interrupter (GFCI) at the power source</w:t>
      </w:r>
      <w:r>
        <w:rPr>
          <w:i/>
          <w:iCs/>
        </w:rPr>
        <w:t>.</w:t>
      </w:r>
    </w:p>
    <w:p w:rsidR="00555A7F" w:rsidRDefault="00555A7F" w:rsidP="00555A7F">
      <w:pPr>
        <w:pStyle w:val="ListParagraph"/>
        <w:rPr>
          <w:i/>
          <w:iCs/>
        </w:rPr>
      </w:pPr>
    </w:p>
    <w:p w:rsidR="00555A7F" w:rsidRDefault="00555A7F" w:rsidP="00555A7F">
      <w:pPr>
        <w:pStyle w:val="ListParagraph"/>
        <w:numPr>
          <w:ilvl w:val="0"/>
          <w:numId w:val="1"/>
        </w:numPr>
      </w:pPr>
      <w:r>
        <w:t xml:space="preserve">The Water Handling </w:t>
      </w:r>
      <w:proofErr w:type="spellStart"/>
      <w:r>
        <w:t>wildland</w:t>
      </w:r>
      <w:proofErr w:type="spellEnd"/>
      <w:r>
        <w:t xml:space="preserve"> engine chart at D.2.1.2.1 was corrected to show a personnel requirement of 3 as follows:</w:t>
      </w:r>
    </w:p>
    <w:p w:rsidR="00555A7F" w:rsidRDefault="00555A7F" w:rsidP="00555A7F">
      <w:pPr>
        <w:pStyle w:val="NoSpacing"/>
        <w:ind w:left="1080"/>
      </w:pPr>
      <w:r>
        <w:t>MINIMUM STANDARDS WILDLAND ENGINES:</w:t>
      </w:r>
    </w:p>
    <w:p w:rsidR="00555A7F" w:rsidRDefault="00555A7F" w:rsidP="00555A7F">
      <w:pPr>
        <w:pStyle w:val="NoSpacing"/>
        <w:ind w:left="1080"/>
      </w:pPr>
      <w:r>
        <w:t>__________________________________________________________________</w:t>
      </w:r>
    </w:p>
    <w:p w:rsidR="00555A7F" w:rsidRDefault="00555A7F" w:rsidP="00555A7F">
      <w:pPr>
        <w:pStyle w:val="NoSpacing"/>
        <w:ind w:left="1080"/>
      </w:pPr>
      <w:r>
        <w:t>REQUIREMENTS                       TYPE 3                   TYPE 4                  TYPE 5     </w:t>
      </w:r>
      <w:r>
        <w:t>         </w:t>
      </w:r>
      <w:r>
        <w:t xml:space="preserve"> TYPE 6</w:t>
      </w:r>
    </w:p>
    <w:p w:rsidR="00555A7F" w:rsidRDefault="00555A7F" w:rsidP="00555A7F">
      <w:pPr>
        <w:pStyle w:val="NoSpacing"/>
        <w:ind w:left="1080"/>
      </w:pPr>
      <w:r>
        <w:t xml:space="preserve">Tank Capacity (gallons) </w:t>
      </w:r>
    </w:p>
    <w:p w:rsidR="00555A7F" w:rsidRDefault="00555A7F" w:rsidP="00555A7F">
      <w:pPr>
        <w:pStyle w:val="NoSpacing"/>
        <w:ind w:left="1080"/>
      </w:pPr>
      <w:r>
        <w:t>Minimum                               </w:t>
      </w:r>
      <w:r>
        <w:t>     500                     </w:t>
      </w:r>
      <w:r>
        <w:t xml:space="preserve"> 750                     </w:t>
      </w:r>
      <w:r>
        <w:t>   400                    </w:t>
      </w:r>
      <w:r>
        <w:t>150</w:t>
      </w:r>
    </w:p>
    <w:p w:rsidR="00555A7F" w:rsidRDefault="00555A7F" w:rsidP="00555A7F">
      <w:pPr>
        <w:pStyle w:val="NoSpacing"/>
        <w:ind w:left="1080"/>
      </w:pPr>
      <w:r>
        <w:t>Maximum                              </w:t>
      </w:r>
      <w:r>
        <w:t>     1500                    </w:t>
      </w:r>
      <w:r>
        <w:t>1500      </w:t>
      </w:r>
      <w:r>
        <w:t>                </w:t>
      </w:r>
      <w:r>
        <w:t>749                      399</w:t>
      </w:r>
    </w:p>
    <w:p w:rsidR="00555A7F" w:rsidRDefault="00555A7F" w:rsidP="00555A7F">
      <w:pPr>
        <w:pStyle w:val="NoSpacing"/>
        <w:ind w:left="1080"/>
      </w:pPr>
      <w:r>
        <w:t>Pump Min Flow (</w:t>
      </w:r>
      <w:proofErr w:type="spellStart"/>
      <w:r>
        <w:t>gpm</w:t>
      </w:r>
      <w:proofErr w:type="spellEnd"/>
      <w:r>
        <w:t>)           150                         50                          50                        50</w:t>
      </w:r>
    </w:p>
    <w:p w:rsidR="00555A7F" w:rsidRDefault="00555A7F" w:rsidP="00555A7F">
      <w:pPr>
        <w:pStyle w:val="NoSpacing"/>
        <w:ind w:left="1080"/>
      </w:pPr>
      <w:r>
        <w:t xml:space="preserve">@ </w:t>
      </w:r>
      <w:proofErr w:type="gramStart"/>
      <w:r>
        <w:t>rated</w:t>
      </w:r>
      <w:proofErr w:type="gramEnd"/>
      <w:r>
        <w:t xml:space="preserve"> pressure (psi)          250                         100                         1</w:t>
      </w:r>
      <w:r>
        <w:t>00                     </w:t>
      </w:r>
      <w:r>
        <w:t>100</w:t>
      </w:r>
    </w:p>
    <w:p w:rsidR="00555A7F" w:rsidRDefault="00555A7F" w:rsidP="00555A7F">
      <w:pPr>
        <w:pStyle w:val="NoSpacing"/>
        <w:ind w:left="1080"/>
      </w:pPr>
      <w:r>
        <w:t>Hose (feet)</w:t>
      </w:r>
    </w:p>
    <w:p w:rsidR="00555A7F" w:rsidRDefault="00555A7F" w:rsidP="00555A7F">
      <w:pPr>
        <w:pStyle w:val="NoSpacing"/>
        <w:ind w:left="1080"/>
      </w:pPr>
      <w:r>
        <w:t>1.5 inch                                     1000                   </w:t>
      </w:r>
      <w:r>
        <w:t>    300                        300                      </w:t>
      </w:r>
      <w:r>
        <w:t>300</w:t>
      </w:r>
    </w:p>
    <w:p w:rsidR="00555A7F" w:rsidRDefault="00555A7F" w:rsidP="00555A7F">
      <w:pPr>
        <w:pStyle w:val="NoSpacing"/>
        <w:ind w:left="1080"/>
      </w:pPr>
      <w:r>
        <w:t>1 inch                                         500                        </w:t>
      </w:r>
      <w:r>
        <w:t xml:space="preserve">300                         300                     </w:t>
      </w:r>
      <w:r>
        <w:t>300</w:t>
      </w:r>
    </w:p>
    <w:p w:rsidR="00555A7F" w:rsidRDefault="00555A7F" w:rsidP="00555A7F">
      <w:pPr>
        <w:pStyle w:val="NoSpacing"/>
        <w:ind w:left="1080"/>
      </w:pPr>
      <w:r>
        <w:t>3 /4 inch Garden Hose           300                         300                     </w:t>
      </w:r>
      <w:r>
        <w:t>    300                     </w:t>
      </w:r>
      <w:r>
        <w:t>300</w:t>
      </w:r>
    </w:p>
    <w:p w:rsidR="00555A7F" w:rsidRDefault="00555A7F" w:rsidP="00555A7F">
      <w:pPr>
        <w:pStyle w:val="NoSpacing"/>
        <w:ind w:left="1080"/>
      </w:pPr>
      <w:r>
        <w:t>Live Hose Reel 3 /4” ID           100                         100                    </w:t>
      </w:r>
      <w:r>
        <w:t>     100                    </w:t>
      </w:r>
      <w:r>
        <w:t>100</w:t>
      </w:r>
    </w:p>
    <w:p w:rsidR="00555A7F" w:rsidRDefault="00555A7F" w:rsidP="00555A7F">
      <w:pPr>
        <w:pStyle w:val="NoSpacing"/>
        <w:ind w:left="1080"/>
      </w:pPr>
      <w:r>
        <w:t xml:space="preserve">Pump and Roll                           Yes                         </w:t>
      </w:r>
      <w:proofErr w:type="spellStart"/>
      <w:r>
        <w:t>Yes</w:t>
      </w:r>
      <w:proofErr w:type="spellEnd"/>
      <w:r>
        <w:t>                     </w:t>
      </w:r>
      <w:r>
        <w:t xml:space="preserve">    </w:t>
      </w:r>
      <w:proofErr w:type="spellStart"/>
      <w:r>
        <w:t>Yes</w:t>
      </w:r>
      <w:proofErr w:type="spellEnd"/>
      <w:r>
        <w:t>                     </w:t>
      </w:r>
      <w:r>
        <w:t>Yes</w:t>
      </w:r>
    </w:p>
    <w:p w:rsidR="00555A7F" w:rsidRDefault="00555A7F" w:rsidP="00555A7F">
      <w:pPr>
        <w:pStyle w:val="NoSpacing"/>
        <w:ind w:left="1080"/>
      </w:pPr>
      <w:r>
        <w:t xml:space="preserve">Foam </w:t>
      </w:r>
      <w:proofErr w:type="spellStart"/>
      <w:r>
        <w:t>Proportioner</w:t>
      </w:r>
      <w:proofErr w:type="spellEnd"/>
      <w:r>
        <w:t xml:space="preserve"> </w:t>
      </w:r>
    </w:p>
    <w:p w:rsidR="00555A7F" w:rsidRDefault="00555A7F" w:rsidP="00555A7F">
      <w:pPr>
        <w:pStyle w:val="NoSpacing"/>
        <w:ind w:left="1080"/>
      </w:pPr>
      <w:r>
        <w:t xml:space="preserve">System                                         Yes                         </w:t>
      </w:r>
      <w:proofErr w:type="spellStart"/>
      <w:r>
        <w:t>Yes</w:t>
      </w:r>
      <w:proofErr w:type="spellEnd"/>
      <w:r>
        <w:t>                   </w:t>
      </w:r>
      <w:r>
        <w:t>     Yes                    </w:t>
      </w:r>
      <w:r>
        <w:t xml:space="preserve"> </w:t>
      </w:r>
      <w:proofErr w:type="spellStart"/>
      <w:r>
        <w:t>Yes</w:t>
      </w:r>
      <w:proofErr w:type="spellEnd"/>
    </w:p>
    <w:p w:rsidR="00555A7F" w:rsidRDefault="00555A7F" w:rsidP="00555A7F">
      <w:pPr>
        <w:pStyle w:val="NoSpacing"/>
        <w:ind w:left="1080"/>
      </w:pPr>
      <w:r>
        <w:t>Maximum GVWR (</w:t>
      </w:r>
      <w:proofErr w:type="spellStart"/>
      <w:r>
        <w:t>lbs</w:t>
      </w:r>
      <w:proofErr w:type="spellEnd"/>
      <w:r>
        <w:t>)           -                              -                       </w:t>
      </w:r>
      <w:r>
        <w:t>       26,000                 </w:t>
      </w:r>
      <w:r>
        <w:t>19,500</w:t>
      </w:r>
    </w:p>
    <w:p w:rsidR="00555A7F" w:rsidRDefault="00555A7F" w:rsidP="00555A7F">
      <w:pPr>
        <w:pStyle w:val="NoSpacing"/>
        <w:ind w:left="1080"/>
        <w:rPr>
          <w:color w:val="0000FF"/>
        </w:rPr>
      </w:pPr>
      <w:r>
        <w:rPr>
          <w:color w:val="0000FF"/>
        </w:rPr>
        <w:t>Personnel Required               3                              3                            </w:t>
      </w:r>
      <w:r>
        <w:rPr>
          <w:color w:val="0000FF"/>
        </w:rPr>
        <w:t>  3                          </w:t>
      </w:r>
      <w:r>
        <w:rPr>
          <w:color w:val="0000FF"/>
        </w:rPr>
        <w:t xml:space="preserve"> 3</w:t>
      </w:r>
    </w:p>
    <w:p w:rsidR="00555A7F" w:rsidRDefault="00555A7F" w:rsidP="00555A7F">
      <w:pPr>
        <w:pStyle w:val="NoSpacing"/>
        <w:ind w:left="1080"/>
      </w:pPr>
      <w:r>
        <w:t>__________________________________________________________________</w:t>
      </w:r>
    </w:p>
    <w:p w:rsidR="00555A7F" w:rsidRDefault="00555A7F" w:rsidP="00555A7F">
      <w:pPr>
        <w:pStyle w:val="NoSpacing"/>
        <w:ind w:left="1440"/>
      </w:pPr>
    </w:p>
    <w:p w:rsidR="00555A7F" w:rsidRDefault="00555A7F" w:rsidP="00555A7F">
      <w:pPr>
        <w:pStyle w:val="ListParagraph"/>
      </w:pPr>
    </w:p>
    <w:p w:rsidR="00555A7F" w:rsidRDefault="00555A7F" w:rsidP="00555A7F">
      <w:pPr>
        <w:pStyle w:val="ListParagraph"/>
        <w:numPr>
          <w:ilvl w:val="0"/>
          <w:numId w:val="1"/>
        </w:numPr>
      </w:pPr>
      <w:r>
        <w:t>IAW CR0060, language in D2 of the Chainsaw Repair Service template was modified to include prepopulated text provided by Region 5.  D.2 remains editable text. </w:t>
      </w:r>
    </w:p>
    <w:p w:rsidR="00555A7F" w:rsidRDefault="00555A7F" w:rsidP="00555A7F">
      <w:pPr>
        <w:pStyle w:val="ListParagraph"/>
      </w:pPr>
    </w:p>
    <w:p w:rsidR="00555A7F" w:rsidRDefault="00555A7F" w:rsidP="00555A7F">
      <w:pPr>
        <w:pStyle w:val="ListParagraph"/>
        <w:numPr>
          <w:ilvl w:val="0"/>
          <w:numId w:val="1"/>
        </w:numPr>
      </w:pPr>
      <w:r>
        <w:t>IAW CR0081, language in D.2.1 of the Refrigerated Trailers template was added to state, “</w:t>
      </w:r>
      <w:r>
        <w:rPr>
          <w:color w:val="0000FF"/>
        </w:rPr>
        <w:t>The government is not obligated to return the refrigeration unit with a full tank of fuel, nor will the contractor be reimbursed for any refueling after the refrigeration unit has been demobilized.</w:t>
      </w:r>
      <w:r>
        <w:t>”</w:t>
      </w:r>
    </w:p>
    <w:p w:rsidR="00555A7F" w:rsidRDefault="00555A7F" w:rsidP="00555A7F">
      <w:pPr>
        <w:pStyle w:val="ListParagraph"/>
      </w:pPr>
    </w:p>
    <w:p w:rsidR="00555A7F" w:rsidRDefault="00555A7F" w:rsidP="00555A7F">
      <w:pPr>
        <w:pStyle w:val="ListParagraph"/>
        <w:numPr>
          <w:ilvl w:val="0"/>
          <w:numId w:val="1"/>
        </w:numPr>
      </w:pPr>
      <w:r>
        <w:t xml:space="preserve">IAW CR0103, language in D2 of the Gray Potable Water/Gray Water/Trailer Mounted </w:t>
      </w:r>
      <w:proofErr w:type="spellStart"/>
      <w:r>
        <w:t>Handwashing</w:t>
      </w:r>
      <w:proofErr w:type="spellEnd"/>
      <w:r>
        <w:t xml:space="preserve"> Station templates was modified to ensure that hoses are properly marked.  </w:t>
      </w:r>
    </w:p>
    <w:p w:rsidR="00555A7F" w:rsidRDefault="00555A7F" w:rsidP="00555A7F"/>
    <w:p w:rsidR="00555A7F" w:rsidRDefault="00555A7F" w:rsidP="00555A7F">
      <w:pPr>
        <w:pStyle w:val="ListParagraph"/>
        <w:numPr>
          <w:ilvl w:val="0"/>
          <w:numId w:val="1"/>
        </w:numPr>
      </w:pPr>
      <w:r>
        <w:t>IAW CR0106, language was changed in D.3.1.2 of the Tactical Water Tender to require the leader of the Tactical Water Tender to Firefighter Type 1 qualified instead of Boss Engine (ENGB) qualified as follows:</w:t>
      </w:r>
    </w:p>
    <w:p w:rsidR="00555A7F" w:rsidRDefault="00555A7F" w:rsidP="00555A7F">
      <w:pPr>
        <w:ind w:left="1080"/>
        <w:contextualSpacing/>
      </w:pPr>
      <w:r>
        <w:t>D.3.1.2 Water Tender Staffing Requirement</w:t>
      </w:r>
    </w:p>
    <w:p w:rsidR="00555A7F" w:rsidRDefault="00555A7F" w:rsidP="00555A7F">
      <w:pPr>
        <w:ind w:left="1080"/>
        <w:contextualSpacing/>
      </w:pPr>
      <w:r>
        <w:t xml:space="preserve">The Contractor shall furnish </w:t>
      </w:r>
      <w:proofErr w:type="spellStart"/>
      <w:r>
        <w:t>wildland</w:t>
      </w:r>
      <w:proofErr w:type="spellEnd"/>
      <w:r>
        <w:t xml:space="preserve"> water tenders </w:t>
      </w:r>
      <w:r>
        <w:rPr>
          <w:b/>
          <w:bCs/>
        </w:rPr>
        <w:t>(support)</w:t>
      </w:r>
      <w:r>
        <w:t>, consisting of one (1) person to include:</w:t>
      </w:r>
    </w:p>
    <w:p w:rsidR="00555A7F" w:rsidRDefault="00555A7F" w:rsidP="00555A7F">
      <w:pPr>
        <w:ind w:left="1080"/>
        <w:contextualSpacing/>
        <w:rPr>
          <w:rFonts w:ascii="Calibri" w:hAnsi="Calibri" w:cs="Calibri"/>
        </w:rPr>
      </w:pPr>
    </w:p>
    <w:p w:rsidR="00555A7F" w:rsidRDefault="00555A7F" w:rsidP="00555A7F">
      <w:pPr>
        <w:ind w:left="1080"/>
        <w:contextualSpacing/>
      </w:pPr>
      <w:r>
        <w:t>      Number of</w:t>
      </w:r>
    </w:p>
    <w:p w:rsidR="00555A7F" w:rsidRDefault="00555A7F" w:rsidP="00555A7F">
      <w:pPr>
        <w:ind w:left="1080"/>
        <w:contextualSpacing/>
      </w:pPr>
      <w:r>
        <w:t>      Personnel                     Title                                                     Support Tender</w:t>
      </w:r>
    </w:p>
    <w:tbl>
      <w:tblPr>
        <w:tblW w:w="0" w:type="auto"/>
        <w:tblInd w:w="1188" w:type="dxa"/>
        <w:tblCellMar>
          <w:left w:w="0" w:type="dxa"/>
          <w:right w:w="0" w:type="dxa"/>
        </w:tblCellMar>
        <w:tblLook w:val="04A0" w:firstRow="1" w:lastRow="0" w:firstColumn="1" w:lastColumn="0" w:noHBand="0" w:noVBand="1"/>
      </w:tblPr>
      <w:tblGrid>
        <w:gridCol w:w="1474"/>
        <w:gridCol w:w="4476"/>
        <w:gridCol w:w="1824"/>
      </w:tblGrid>
      <w:tr w:rsidR="00555A7F" w:rsidTr="00555A7F">
        <w:tc>
          <w:tcPr>
            <w:tcW w:w="14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55A7F" w:rsidRDefault="00555A7F">
            <w:pPr>
              <w:spacing w:line="276" w:lineRule="auto"/>
              <w:ind w:left="252"/>
              <w:contextualSpacing/>
              <w:rPr>
                <w:rFonts w:ascii="Calibri" w:hAnsi="Calibri" w:cs="Calibri"/>
                <w:sz w:val="22"/>
                <w:szCs w:val="22"/>
              </w:rPr>
            </w:pPr>
            <w:r>
              <w:t xml:space="preserve">1 </w:t>
            </w:r>
            <w:proofErr w:type="spellStart"/>
            <w:r>
              <w:t>ea</w:t>
            </w:r>
            <w:proofErr w:type="spellEnd"/>
          </w:p>
        </w:tc>
        <w:tc>
          <w:tcPr>
            <w:tcW w:w="44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55A7F" w:rsidRDefault="00555A7F">
            <w:pPr>
              <w:spacing w:line="276" w:lineRule="auto"/>
              <w:ind w:left="308"/>
              <w:contextualSpacing/>
              <w:rPr>
                <w:rFonts w:ascii="Calibri" w:hAnsi="Calibri" w:cs="Calibri"/>
                <w:sz w:val="22"/>
                <w:szCs w:val="22"/>
              </w:rPr>
            </w:pPr>
            <w:r>
              <w:t>Support Water Tender Operator</w:t>
            </w:r>
          </w:p>
        </w:tc>
        <w:tc>
          <w:tcPr>
            <w:tcW w:w="18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55A7F" w:rsidRDefault="00555A7F">
            <w:pPr>
              <w:spacing w:line="276" w:lineRule="auto"/>
              <w:ind w:left="332"/>
              <w:contextualSpacing/>
              <w:rPr>
                <w:rFonts w:ascii="Calibri" w:hAnsi="Calibri" w:cs="Calibri"/>
                <w:sz w:val="22"/>
                <w:szCs w:val="22"/>
              </w:rPr>
            </w:pPr>
            <w:r>
              <w:t>All Types</w:t>
            </w:r>
          </w:p>
        </w:tc>
      </w:tr>
    </w:tbl>
    <w:p w:rsidR="00555A7F" w:rsidRDefault="00555A7F" w:rsidP="00555A7F">
      <w:pPr>
        <w:ind w:left="1080"/>
        <w:contextualSpacing/>
        <w:rPr>
          <w:rFonts w:ascii="Calibri" w:hAnsi="Calibri" w:cs="Calibri"/>
          <w:sz w:val="22"/>
          <w:szCs w:val="22"/>
        </w:rPr>
      </w:pPr>
    </w:p>
    <w:p w:rsidR="00555A7F" w:rsidRDefault="00555A7F" w:rsidP="00555A7F">
      <w:pPr>
        <w:ind w:left="1080"/>
        <w:contextualSpacing/>
      </w:pPr>
      <w:r>
        <w:t xml:space="preserve">The Contractor shall furnish </w:t>
      </w:r>
      <w:proofErr w:type="spellStart"/>
      <w:r>
        <w:t>wildland</w:t>
      </w:r>
      <w:proofErr w:type="spellEnd"/>
      <w:r>
        <w:t xml:space="preserve"> water tenders </w:t>
      </w:r>
      <w:r>
        <w:rPr>
          <w:b/>
          <w:bCs/>
        </w:rPr>
        <w:t>(tactical)</w:t>
      </w:r>
      <w:r>
        <w:t>, consisting of two (2) personnel to include:</w:t>
      </w:r>
    </w:p>
    <w:p w:rsidR="00555A7F" w:rsidRDefault="00555A7F" w:rsidP="00555A7F">
      <w:pPr>
        <w:ind w:left="1080"/>
        <w:contextualSpacing/>
        <w:rPr>
          <w:rFonts w:ascii="Calibri" w:hAnsi="Calibri" w:cs="Calibri"/>
          <w:sz w:val="22"/>
          <w:szCs w:val="22"/>
        </w:rPr>
      </w:pPr>
    </w:p>
    <w:p w:rsidR="00555A7F" w:rsidRDefault="00555A7F" w:rsidP="00555A7F">
      <w:pPr>
        <w:ind w:left="1080"/>
        <w:contextualSpacing/>
      </w:pPr>
      <w:r>
        <w:t>      Number of</w:t>
      </w:r>
    </w:p>
    <w:p w:rsidR="00555A7F" w:rsidRDefault="00555A7F" w:rsidP="00555A7F">
      <w:pPr>
        <w:ind w:left="1080"/>
        <w:contextualSpacing/>
      </w:pPr>
      <w:r>
        <w:t>      Personnel                     Title                                                     Tactical Tender</w:t>
      </w:r>
    </w:p>
    <w:tbl>
      <w:tblPr>
        <w:tblW w:w="0" w:type="auto"/>
        <w:tblInd w:w="1188" w:type="dxa"/>
        <w:tblCellMar>
          <w:left w:w="0" w:type="dxa"/>
          <w:right w:w="0" w:type="dxa"/>
        </w:tblCellMar>
        <w:tblLook w:val="04A0" w:firstRow="1" w:lastRow="0" w:firstColumn="1" w:lastColumn="0" w:noHBand="0" w:noVBand="1"/>
      </w:tblPr>
      <w:tblGrid>
        <w:gridCol w:w="1474"/>
        <w:gridCol w:w="4476"/>
        <w:gridCol w:w="1824"/>
      </w:tblGrid>
      <w:tr w:rsidR="00555A7F" w:rsidTr="00555A7F">
        <w:tc>
          <w:tcPr>
            <w:tcW w:w="14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55A7F" w:rsidRDefault="00555A7F">
            <w:pPr>
              <w:spacing w:line="276" w:lineRule="auto"/>
              <w:ind w:left="252"/>
              <w:contextualSpacing/>
              <w:rPr>
                <w:rFonts w:ascii="Calibri" w:hAnsi="Calibri" w:cs="Calibri"/>
                <w:color w:val="0000FF"/>
                <w:sz w:val="22"/>
                <w:szCs w:val="22"/>
              </w:rPr>
            </w:pPr>
            <w:r>
              <w:rPr>
                <w:color w:val="0000FF"/>
              </w:rPr>
              <w:t xml:space="preserve">1 </w:t>
            </w:r>
            <w:proofErr w:type="spellStart"/>
            <w:r>
              <w:rPr>
                <w:color w:val="0000FF"/>
              </w:rPr>
              <w:t>ea</w:t>
            </w:r>
            <w:proofErr w:type="spellEnd"/>
          </w:p>
        </w:tc>
        <w:tc>
          <w:tcPr>
            <w:tcW w:w="44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55A7F" w:rsidRDefault="00555A7F">
            <w:pPr>
              <w:spacing w:line="276" w:lineRule="auto"/>
              <w:ind w:left="252"/>
              <w:contextualSpacing/>
              <w:rPr>
                <w:rFonts w:ascii="Calibri" w:hAnsi="Calibri" w:cs="Calibri"/>
                <w:color w:val="0000FF"/>
                <w:sz w:val="22"/>
                <w:szCs w:val="22"/>
              </w:rPr>
            </w:pPr>
            <w:r>
              <w:rPr>
                <w:color w:val="0000FF"/>
              </w:rPr>
              <w:t>Firefighter Type 1</w:t>
            </w:r>
          </w:p>
        </w:tc>
        <w:tc>
          <w:tcPr>
            <w:tcW w:w="18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55A7F" w:rsidRDefault="00555A7F">
            <w:pPr>
              <w:spacing w:line="276" w:lineRule="auto"/>
              <w:ind w:left="252"/>
              <w:contextualSpacing/>
              <w:rPr>
                <w:rFonts w:ascii="Calibri" w:hAnsi="Calibri" w:cs="Calibri"/>
                <w:color w:val="0000FF"/>
                <w:sz w:val="22"/>
                <w:szCs w:val="22"/>
              </w:rPr>
            </w:pPr>
            <w:r>
              <w:rPr>
                <w:color w:val="0000FF"/>
              </w:rPr>
              <w:t>All Types</w:t>
            </w:r>
          </w:p>
        </w:tc>
      </w:tr>
      <w:tr w:rsidR="00555A7F" w:rsidTr="00555A7F">
        <w:tc>
          <w:tcPr>
            <w:tcW w:w="14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55A7F" w:rsidRDefault="00555A7F">
            <w:pPr>
              <w:spacing w:line="276" w:lineRule="auto"/>
              <w:ind w:left="252"/>
              <w:contextualSpacing/>
              <w:rPr>
                <w:rFonts w:ascii="Calibri" w:hAnsi="Calibri" w:cs="Calibri"/>
                <w:sz w:val="22"/>
                <w:szCs w:val="22"/>
              </w:rPr>
            </w:pPr>
            <w:r>
              <w:t xml:space="preserve">1 </w:t>
            </w:r>
            <w:proofErr w:type="spellStart"/>
            <w:r>
              <w:t>ea</w:t>
            </w:r>
            <w:proofErr w:type="spellEnd"/>
          </w:p>
        </w:tc>
        <w:tc>
          <w:tcPr>
            <w:tcW w:w="4476" w:type="dxa"/>
            <w:tcBorders>
              <w:top w:val="nil"/>
              <w:left w:val="nil"/>
              <w:bottom w:val="single" w:sz="8" w:space="0" w:color="auto"/>
              <w:right w:val="single" w:sz="8" w:space="0" w:color="auto"/>
            </w:tcBorders>
            <w:tcMar>
              <w:top w:w="0" w:type="dxa"/>
              <w:left w:w="108" w:type="dxa"/>
              <w:bottom w:w="0" w:type="dxa"/>
              <w:right w:w="108" w:type="dxa"/>
            </w:tcMar>
            <w:hideMark/>
          </w:tcPr>
          <w:p w:rsidR="00555A7F" w:rsidRDefault="00555A7F">
            <w:pPr>
              <w:spacing w:line="276" w:lineRule="auto"/>
              <w:ind w:left="252"/>
              <w:contextualSpacing/>
              <w:rPr>
                <w:rFonts w:ascii="Calibri" w:hAnsi="Calibri" w:cs="Calibri"/>
                <w:sz w:val="22"/>
                <w:szCs w:val="22"/>
              </w:rPr>
            </w:pPr>
            <w:r>
              <w:t>Firefighter Types 1 or 2 (FFT1 or FFT2)</w:t>
            </w:r>
          </w:p>
        </w:tc>
        <w:tc>
          <w:tcPr>
            <w:tcW w:w="1824" w:type="dxa"/>
            <w:tcBorders>
              <w:top w:val="nil"/>
              <w:left w:val="nil"/>
              <w:bottom w:val="single" w:sz="8" w:space="0" w:color="auto"/>
              <w:right w:val="single" w:sz="8" w:space="0" w:color="auto"/>
            </w:tcBorders>
            <w:tcMar>
              <w:top w:w="0" w:type="dxa"/>
              <w:left w:w="108" w:type="dxa"/>
              <w:bottom w:w="0" w:type="dxa"/>
              <w:right w:w="108" w:type="dxa"/>
            </w:tcMar>
            <w:hideMark/>
          </w:tcPr>
          <w:p w:rsidR="00555A7F" w:rsidRDefault="00555A7F">
            <w:pPr>
              <w:spacing w:line="276" w:lineRule="auto"/>
              <w:ind w:left="252"/>
              <w:contextualSpacing/>
              <w:rPr>
                <w:rFonts w:ascii="Calibri" w:hAnsi="Calibri" w:cs="Calibri"/>
                <w:sz w:val="22"/>
                <w:szCs w:val="22"/>
              </w:rPr>
            </w:pPr>
            <w:r>
              <w:t>All Types</w:t>
            </w:r>
          </w:p>
        </w:tc>
      </w:tr>
    </w:tbl>
    <w:p w:rsidR="00555A7F" w:rsidRDefault="00555A7F" w:rsidP="00555A7F">
      <w:pPr>
        <w:ind w:left="1080"/>
        <w:contextualSpacing/>
        <w:rPr>
          <w:rFonts w:ascii="Calibri" w:hAnsi="Calibri" w:cs="Calibri"/>
          <w:sz w:val="22"/>
          <w:szCs w:val="22"/>
        </w:rPr>
      </w:pPr>
    </w:p>
    <w:p w:rsidR="00555A7F" w:rsidRDefault="00555A7F" w:rsidP="00555A7F">
      <w:pPr>
        <w:ind w:left="1080"/>
        <w:contextualSpacing/>
      </w:pPr>
      <w:r>
        <w:t>These personnel will meet the requirements of D.3.1 and Exhibit N.</w:t>
      </w:r>
    </w:p>
    <w:p w:rsidR="00555A7F" w:rsidRDefault="00555A7F" w:rsidP="00555A7F">
      <w:pPr>
        <w:rPr>
          <w:rFonts w:ascii="Calibri" w:hAnsi="Calibri" w:cs="Calibri"/>
        </w:rPr>
      </w:pPr>
    </w:p>
    <w:p w:rsidR="00555A7F" w:rsidRDefault="00555A7F" w:rsidP="00555A7F">
      <w:pPr>
        <w:pStyle w:val="ListParagraph"/>
        <w:numPr>
          <w:ilvl w:val="0"/>
          <w:numId w:val="1"/>
        </w:numPr>
      </w:pPr>
      <w:r>
        <w:t>FAC 2005-62 was released effective 20 NOV 2012 and C01 Terms and Conditions (FAR 52.212-5) was updated with the new date.</w:t>
      </w:r>
    </w:p>
    <w:p w:rsidR="000A29F6" w:rsidRDefault="000A29F6"/>
    <w:sectPr w:rsidR="000A29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35087"/>
    <w:multiLevelType w:val="hybridMultilevel"/>
    <w:tmpl w:val="64D822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A7F"/>
    <w:rsid w:val="000A29F6"/>
    <w:rsid w:val="00555A7F"/>
    <w:rsid w:val="009D3A72"/>
    <w:rsid w:val="00E20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A7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5A7F"/>
    <w:rPr>
      <w:color w:val="0000FF"/>
      <w:u w:val="single"/>
    </w:rPr>
  </w:style>
  <w:style w:type="paragraph" w:styleId="NoSpacing">
    <w:name w:val="No Spacing"/>
    <w:basedOn w:val="Normal"/>
    <w:uiPriority w:val="1"/>
    <w:qFormat/>
    <w:rsid w:val="00555A7F"/>
    <w:rPr>
      <w:rFonts w:ascii="Calibri" w:hAnsi="Calibri" w:cs="Calibri"/>
      <w:sz w:val="22"/>
      <w:szCs w:val="22"/>
    </w:rPr>
  </w:style>
  <w:style w:type="paragraph" w:styleId="ListParagraph">
    <w:name w:val="List Paragraph"/>
    <w:basedOn w:val="Normal"/>
    <w:uiPriority w:val="34"/>
    <w:qFormat/>
    <w:rsid w:val="00555A7F"/>
    <w:pPr>
      <w:ind w:left="720"/>
    </w:pPr>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A7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5A7F"/>
    <w:rPr>
      <w:color w:val="0000FF"/>
      <w:u w:val="single"/>
    </w:rPr>
  </w:style>
  <w:style w:type="paragraph" w:styleId="NoSpacing">
    <w:name w:val="No Spacing"/>
    <w:basedOn w:val="Normal"/>
    <w:uiPriority w:val="1"/>
    <w:qFormat/>
    <w:rsid w:val="00555A7F"/>
    <w:rPr>
      <w:rFonts w:ascii="Calibri" w:hAnsi="Calibri" w:cs="Calibri"/>
      <w:sz w:val="22"/>
      <w:szCs w:val="22"/>
    </w:rPr>
  </w:style>
  <w:style w:type="paragraph" w:styleId="ListParagraph">
    <w:name w:val="List Paragraph"/>
    <w:basedOn w:val="Normal"/>
    <w:uiPriority w:val="34"/>
    <w:qFormat/>
    <w:rsid w:val="00555A7F"/>
    <w:pPr>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94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fed.us/business/incident/vendorapp.ph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Tracy -FS</dc:creator>
  <cp:keywords/>
  <dc:description/>
  <cp:lastModifiedBy>Sawyer, Tracy -FS</cp:lastModifiedBy>
  <cp:revision>1</cp:revision>
  <dcterms:created xsi:type="dcterms:W3CDTF">2012-12-07T15:53:00Z</dcterms:created>
  <dcterms:modified xsi:type="dcterms:W3CDTF">2012-12-07T15:57:00Z</dcterms:modified>
</cp:coreProperties>
</file>