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F2F" w:rsidRDefault="004E5F2F" w:rsidP="00992C09">
      <w:pPr>
        <w:pStyle w:val="NormalWeb"/>
        <w:jc w:val="center"/>
        <w:rPr>
          <w:rFonts w:ascii="Arial" w:hAnsi="Arial" w:cs="Arial"/>
        </w:rPr>
      </w:pPr>
      <w:bookmarkStart w:id="0" w:name="_GoBack"/>
      <w:bookmarkEnd w:id="0"/>
      <w:r>
        <w:rPr>
          <w:rFonts w:ascii="Arial" w:hAnsi="Arial" w:cs="Arial"/>
        </w:rPr>
        <w:t>MAINTENANCE CYCLE FOR APRIL 2012</w:t>
      </w:r>
    </w:p>
    <w:p w:rsidR="00A865CC" w:rsidRPr="004E5F2F" w:rsidRDefault="00A865CC" w:rsidP="004E5F2F">
      <w:pPr>
        <w:pStyle w:val="NormalWeb"/>
        <w:pBdr>
          <w:top w:val="single" w:sz="4" w:space="1" w:color="auto"/>
        </w:pBdr>
        <w:rPr>
          <w:rFonts w:ascii="Arial" w:hAnsi="Arial" w:cs="Arial"/>
        </w:rPr>
      </w:pPr>
      <w:r w:rsidRPr="004E5F2F">
        <w:rPr>
          <w:rFonts w:ascii="Arial" w:hAnsi="Arial" w:cs="Arial"/>
        </w:rPr>
        <w:t>THE FOLLOWING CHANGES ARE APPLICABLE TO ALL BOILER PLATE TEMPLATES:</w:t>
      </w:r>
    </w:p>
    <w:p w:rsidR="00E50253" w:rsidRPr="004E5F2F" w:rsidRDefault="00A865CC" w:rsidP="00E50253">
      <w:pPr>
        <w:pStyle w:val="ListParagraph"/>
        <w:numPr>
          <w:ilvl w:val="0"/>
          <w:numId w:val="8"/>
        </w:numPr>
        <w:rPr>
          <w:rFonts w:ascii="Arial" w:hAnsi="Arial" w:cs="Arial"/>
          <w:sz w:val="24"/>
          <w:szCs w:val="24"/>
        </w:rPr>
      </w:pPr>
      <w:r w:rsidRPr="004E5F2F">
        <w:rPr>
          <w:rFonts w:ascii="Arial" w:hAnsi="Arial" w:cs="Arial"/>
          <w:b/>
          <w:sz w:val="24"/>
          <w:szCs w:val="24"/>
          <w:u w:val="single"/>
        </w:rPr>
        <w:t>B01 – Intro.</w:t>
      </w:r>
      <w:r w:rsidRPr="004E5F2F">
        <w:rPr>
          <w:rFonts w:ascii="Arial" w:hAnsi="Arial" w:cs="Arial"/>
          <w:sz w:val="24"/>
          <w:szCs w:val="24"/>
        </w:rPr>
        <w:t xml:space="preserve">  </w:t>
      </w:r>
      <w:r w:rsidR="00E50253" w:rsidRPr="004E5F2F">
        <w:rPr>
          <w:rFonts w:ascii="Arial" w:hAnsi="Arial" w:cs="Arial"/>
          <w:sz w:val="24"/>
          <w:szCs w:val="24"/>
        </w:rPr>
        <w:t>The language in Section B is changed to add “</w:t>
      </w:r>
      <w:proofErr w:type="spellStart"/>
      <w:r w:rsidR="00E50253" w:rsidRPr="004E5F2F">
        <w:rPr>
          <w:rFonts w:ascii="Arial" w:hAnsi="Arial" w:cs="Arial"/>
          <w:sz w:val="24"/>
          <w:szCs w:val="24"/>
        </w:rPr>
        <w:t>wildland</w:t>
      </w:r>
      <w:proofErr w:type="spellEnd"/>
      <w:r w:rsidR="00E50253" w:rsidRPr="004E5F2F">
        <w:rPr>
          <w:rFonts w:ascii="Arial" w:hAnsi="Arial" w:cs="Arial"/>
          <w:sz w:val="24"/>
          <w:szCs w:val="24"/>
        </w:rPr>
        <w:t xml:space="preserve"> fire” in the second and third paragraphs.  Changes are highlighted:</w:t>
      </w:r>
    </w:p>
    <w:p w:rsidR="00E50253" w:rsidRPr="004E5F2F" w:rsidRDefault="00E50253" w:rsidP="00E50253">
      <w:pPr>
        <w:ind w:left="1440" w:right="1440"/>
        <w:rPr>
          <w:rFonts w:ascii="Arial" w:hAnsi="Arial" w:cs="Arial"/>
          <w:sz w:val="20"/>
          <w:szCs w:val="20"/>
        </w:rPr>
      </w:pPr>
      <w:r w:rsidRPr="004E5F2F">
        <w:rPr>
          <w:rFonts w:ascii="Arial" w:hAnsi="Arial" w:cs="Arial"/>
          <w:sz w:val="20"/>
          <w:szCs w:val="20"/>
        </w:rPr>
        <w:t xml:space="preserve">The intent of this solicitation is to obtain the services described in D.1 Scope of Agreement for Local, Regional, and </w:t>
      </w:r>
      <w:proofErr w:type="gramStart"/>
      <w:r w:rsidRPr="004E5F2F">
        <w:rPr>
          <w:rFonts w:ascii="Arial" w:hAnsi="Arial" w:cs="Arial"/>
          <w:sz w:val="20"/>
          <w:szCs w:val="20"/>
        </w:rPr>
        <w:t>Nationwide</w:t>
      </w:r>
      <w:proofErr w:type="gramEnd"/>
      <w:r w:rsidRPr="004E5F2F">
        <w:rPr>
          <w:rFonts w:ascii="Arial" w:hAnsi="Arial" w:cs="Arial"/>
          <w:sz w:val="20"/>
          <w:szCs w:val="20"/>
        </w:rPr>
        <w:t xml:space="preserve"> fire suppression and all-hazard incidents.</w:t>
      </w:r>
    </w:p>
    <w:p w:rsidR="00E50253" w:rsidRPr="004E5F2F" w:rsidRDefault="00E50253" w:rsidP="00E50253">
      <w:pPr>
        <w:ind w:left="1440" w:right="1440"/>
        <w:rPr>
          <w:rFonts w:ascii="Arial" w:hAnsi="Arial" w:cs="Arial"/>
          <w:sz w:val="20"/>
          <w:szCs w:val="20"/>
        </w:rPr>
      </w:pPr>
      <w:r w:rsidRPr="004E5F2F">
        <w:rPr>
          <w:rFonts w:ascii="Arial" w:hAnsi="Arial" w:cs="Arial"/>
          <w:sz w:val="20"/>
          <w:szCs w:val="20"/>
        </w:rPr>
        <w:t xml:space="preserve">The Blanket Purchase Agreements resulting from this Request for Quote (RFQ) may be used by multiple State and Federal </w:t>
      </w:r>
      <w:proofErr w:type="spellStart"/>
      <w:r w:rsidRPr="004E5F2F">
        <w:rPr>
          <w:rFonts w:ascii="Arial" w:hAnsi="Arial" w:cs="Arial"/>
          <w:color w:val="FF0000"/>
          <w:sz w:val="20"/>
          <w:szCs w:val="20"/>
          <w:highlight w:val="yellow"/>
        </w:rPr>
        <w:t>wildland</w:t>
      </w:r>
      <w:proofErr w:type="spellEnd"/>
      <w:r w:rsidRPr="004E5F2F">
        <w:rPr>
          <w:rFonts w:ascii="Arial" w:hAnsi="Arial" w:cs="Arial"/>
          <w:color w:val="FF0000"/>
          <w:sz w:val="20"/>
          <w:szCs w:val="20"/>
          <w:highlight w:val="yellow"/>
        </w:rPr>
        <w:t xml:space="preserve"> fire</w:t>
      </w:r>
      <w:r w:rsidRPr="004E5F2F">
        <w:rPr>
          <w:rFonts w:ascii="Arial" w:hAnsi="Arial" w:cs="Arial"/>
          <w:color w:val="FF0000"/>
          <w:sz w:val="20"/>
          <w:szCs w:val="20"/>
        </w:rPr>
        <w:t xml:space="preserve"> </w:t>
      </w:r>
      <w:r w:rsidRPr="004E5F2F">
        <w:rPr>
          <w:rFonts w:ascii="Arial" w:hAnsi="Arial" w:cs="Arial"/>
          <w:sz w:val="20"/>
          <w:szCs w:val="20"/>
        </w:rPr>
        <w:t xml:space="preserve">agencies.  </w:t>
      </w:r>
    </w:p>
    <w:p w:rsidR="00E50253" w:rsidRPr="004E5F2F" w:rsidRDefault="00E50253" w:rsidP="00E50253">
      <w:pPr>
        <w:ind w:left="1440" w:right="1440"/>
        <w:rPr>
          <w:rFonts w:ascii="Arial" w:hAnsi="Arial" w:cs="Arial"/>
          <w:sz w:val="20"/>
          <w:szCs w:val="20"/>
        </w:rPr>
      </w:pPr>
      <w:r w:rsidRPr="004E5F2F">
        <w:rPr>
          <w:rFonts w:ascii="Arial" w:hAnsi="Arial" w:cs="Arial"/>
          <w:sz w:val="20"/>
          <w:szCs w:val="20"/>
        </w:rPr>
        <w:t xml:space="preserve">Exhibit H contains requirements specific to the various State and Federal </w:t>
      </w:r>
      <w:proofErr w:type="spellStart"/>
      <w:r w:rsidRPr="004E5F2F">
        <w:rPr>
          <w:rFonts w:ascii="Arial" w:hAnsi="Arial" w:cs="Arial"/>
          <w:color w:val="FF0000"/>
          <w:sz w:val="20"/>
          <w:szCs w:val="20"/>
          <w:highlight w:val="yellow"/>
        </w:rPr>
        <w:t>wildland</w:t>
      </w:r>
      <w:proofErr w:type="spellEnd"/>
      <w:r w:rsidRPr="004E5F2F">
        <w:rPr>
          <w:rFonts w:ascii="Arial" w:hAnsi="Arial" w:cs="Arial"/>
          <w:color w:val="FF0000"/>
          <w:sz w:val="20"/>
          <w:szCs w:val="20"/>
          <w:highlight w:val="yellow"/>
        </w:rPr>
        <w:t xml:space="preserve"> fire</w:t>
      </w:r>
      <w:r w:rsidRPr="004E5F2F">
        <w:rPr>
          <w:rFonts w:ascii="Arial" w:hAnsi="Arial" w:cs="Arial"/>
          <w:sz w:val="20"/>
          <w:szCs w:val="20"/>
        </w:rPr>
        <w:t xml:space="preserve"> agencies.</w:t>
      </w:r>
    </w:p>
    <w:p w:rsidR="00A865CC" w:rsidRPr="004E5F2F" w:rsidRDefault="00A865CC" w:rsidP="00E50253">
      <w:pPr>
        <w:pStyle w:val="NormalWeb"/>
        <w:numPr>
          <w:ilvl w:val="0"/>
          <w:numId w:val="8"/>
        </w:numPr>
        <w:rPr>
          <w:rFonts w:ascii="Arial" w:hAnsi="Arial" w:cs="Arial"/>
        </w:rPr>
      </w:pPr>
      <w:r w:rsidRPr="004E5F2F">
        <w:rPr>
          <w:rFonts w:ascii="Arial" w:hAnsi="Arial" w:cs="Arial"/>
          <w:b/>
          <w:u w:val="single"/>
        </w:rPr>
        <w:t>B02 – Pricing and Estimated Quantity.</w:t>
      </w:r>
      <w:r w:rsidR="00083271" w:rsidRPr="004E5F2F">
        <w:rPr>
          <w:rFonts w:ascii="Arial" w:hAnsi="Arial" w:cs="Arial"/>
        </w:rPr>
        <w:t xml:space="preserve">  The language in the second paragraph is changed as follows:</w:t>
      </w:r>
    </w:p>
    <w:p w:rsidR="00083271" w:rsidRPr="004E5F2F" w:rsidRDefault="00083271" w:rsidP="00083271">
      <w:pPr>
        <w:pStyle w:val="ListParagraph"/>
        <w:autoSpaceDE w:val="0"/>
        <w:autoSpaceDN w:val="0"/>
        <w:adjustRightInd w:val="0"/>
        <w:spacing w:after="240"/>
        <w:ind w:left="1440" w:right="720"/>
        <w:rPr>
          <w:rFonts w:ascii="Arial" w:hAnsi="Arial" w:cs="Arial"/>
          <w:color w:val="000000"/>
          <w:sz w:val="20"/>
          <w:szCs w:val="20"/>
        </w:rPr>
      </w:pPr>
      <w:r w:rsidRPr="004E5F2F">
        <w:rPr>
          <w:rFonts w:ascii="Arial" w:hAnsi="Arial" w:cs="Arial"/>
          <w:color w:val="000000"/>
          <w:sz w:val="20"/>
          <w:szCs w:val="20"/>
        </w:rPr>
        <w:t xml:space="preserve">Proposed rates shall include, but are not limited to, labor (as required), equipment, operating supplies, materials, State and Federal taxes (including workers’ compensation costs), insurance coverage, transportation costs, overhead, and profit, and any costs/fees necessary to ensure equipment/ operators/crews meet(s) the specified standards. As required by the agreement, any costs associated with a contractor provided support truck for fuel, maintenance, and operator transportation; delivery/setup/takedown, mobilization/demobilization, power generation, and a Contractor’s representative attendance at the operational period briefings should also be included. </w:t>
      </w:r>
      <w:r w:rsidRPr="004E5F2F">
        <w:rPr>
          <w:rFonts w:ascii="Arial" w:hAnsi="Arial" w:cs="Arial"/>
          <w:color w:val="FF0000"/>
          <w:sz w:val="20"/>
          <w:szCs w:val="20"/>
          <w:highlight w:val="yellow"/>
        </w:rPr>
        <w:t xml:space="preserve">Contractors shall comply with the 2:1 work/rest ratio as outlined in the Interagency Incident Business Management Handbook (12.7-1 Work/Rest Guidelines).  </w:t>
      </w:r>
      <w:r w:rsidRPr="004E5F2F">
        <w:rPr>
          <w:rFonts w:ascii="Arial" w:hAnsi="Arial" w:cs="Arial"/>
          <w:strike/>
          <w:color w:val="000000"/>
          <w:sz w:val="20"/>
          <w:szCs w:val="20"/>
          <w:highlight w:val="yellow"/>
        </w:rPr>
        <w:t>If the resources are provided fully-operated, Contractors shall be prepared to operate up to 16 hours per day (or as otherwise specified). The Finance Unit will work in tandem with Fire Operations to ensure contract resources are not worked more than 16 hours. Working more than 16 hours per day violates the 2:1 work/rest safety guidelines and shall be mitigated.</w:t>
      </w:r>
      <w:r w:rsidRPr="004E5F2F">
        <w:rPr>
          <w:rFonts w:ascii="Arial" w:hAnsi="Arial" w:cs="Arial"/>
          <w:strike/>
          <w:color w:val="000000"/>
          <w:sz w:val="20"/>
          <w:szCs w:val="20"/>
        </w:rPr>
        <w:t xml:space="preserve"> </w:t>
      </w:r>
      <w:r w:rsidRPr="004E5F2F">
        <w:rPr>
          <w:rFonts w:ascii="Arial" w:hAnsi="Arial" w:cs="Arial"/>
          <w:color w:val="000000"/>
          <w:sz w:val="20"/>
          <w:szCs w:val="20"/>
        </w:rPr>
        <w:t xml:space="preserve">When working an average of more than 16 hours, for the duration of the incident, a Contractor may request to negotiate an equitable adjustment through the Procurement Unit Leader or Contracting Officer. Shifts exceeding 16 hours shall be approved by the Incident Commander. </w:t>
      </w:r>
    </w:p>
    <w:p w:rsidR="00A865CC" w:rsidRPr="004E5F2F" w:rsidRDefault="00A865CC" w:rsidP="00E50253">
      <w:pPr>
        <w:pStyle w:val="NormalWeb"/>
        <w:numPr>
          <w:ilvl w:val="0"/>
          <w:numId w:val="8"/>
        </w:numPr>
        <w:rPr>
          <w:rFonts w:ascii="Arial" w:hAnsi="Arial" w:cs="Arial"/>
        </w:rPr>
      </w:pPr>
      <w:r w:rsidRPr="004E5F2F">
        <w:rPr>
          <w:rFonts w:ascii="Arial" w:hAnsi="Arial" w:cs="Arial"/>
          <w:b/>
          <w:u w:val="single"/>
        </w:rPr>
        <w:t>B04 – Summary.</w:t>
      </w:r>
      <w:r w:rsidR="00B928FB" w:rsidRPr="004E5F2F">
        <w:rPr>
          <w:rFonts w:ascii="Arial" w:hAnsi="Arial" w:cs="Arial"/>
        </w:rPr>
        <w:t xml:space="preserve">  Changes to paragraph 1 </w:t>
      </w:r>
      <w:proofErr w:type="gramStart"/>
      <w:r w:rsidR="00B928FB" w:rsidRPr="004E5F2F">
        <w:rPr>
          <w:rFonts w:ascii="Arial" w:hAnsi="Arial" w:cs="Arial"/>
        </w:rPr>
        <w:t>adds</w:t>
      </w:r>
      <w:proofErr w:type="gramEnd"/>
      <w:r w:rsidR="00B928FB" w:rsidRPr="004E5F2F">
        <w:rPr>
          <w:rFonts w:ascii="Arial" w:hAnsi="Arial" w:cs="Arial"/>
        </w:rPr>
        <w:t xml:space="preserve"> information regarding to the VIPR Vendor Application.  Paragraph 2 includes additional instructions for ORCA and references the website from the FAR.  </w:t>
      </w:r>
    </w:p>
    <w:p w:rsidR="00B928FB" w:rsidRPr="004E5F2F" w:rsidRDefault="00B928FB" w:rsidP="00B928FB">
      <w:pPr>
        <w:pStyle w:val="1"/>
        <w:tabs>
          <w:tab w:val="clear" w:pos="720"/>
          <w:tab w:val="clear" w:pos="1440"/>
          <w:tab w:val="clear" w:pos="2160"/>
        </w:tabs>
        <w:spacing w:line="240" w:lineRule="auto"/>
        <w:ind w:left="1710" w:right="720" w:hanging="270"/>
        <w:rPr>
          <w:rFonts w:cs="Arial"/>
          <w:b w:val="0"/>
          <w:sz w:val="20"/>
        </w:rPr>
      </w:pPr>
      <w:r w:rsidRPr="004E5F2F">
        <w:rPr>
          <w:rFonts w:cs="Arial"/>
          <w:b w:val="0"/>
          <w:sz w:val="20"/>
        </w:rPr>
        <w:lastRenderedPageBreak/>
        <w:t>1.</w:t>
      </w:r>
      <w:r w:rsidRPr="004E5F2F">
        <w:rPr>
          <w:rFonts w:cs="Arial"/>
          <w:b w:val="0"/>
          <w:sz w:val="20"/>
        </w:rPr>
        <w:tab/>
        <w:t xml:space="preserve">Submit a quote in the Virtual Incident Procurement (VIPR) System (see E.1 52.212-1 Instructions to </w:t>
      </w:r>
      <w:proofErr w:type="spellStart"/>
      <w:r w:rsidRPr="004E5F2F">
        <w:rPr>
          <w:rFonts w:cs="Arial"/>
          <w:b w:val="0"/>
          <w:sz w:val="20"/>
        </w:rPr>
        <w:t>Offeror</w:t>
      </w:r>
      <w:proofErr w:type="spellEnd"/>
      <w:r w:rsidRPr="004E5F2F">
        <w:rPr>
          <w:rFonts w:cs="Arial"/>
          <w:b w:val="0"/>
          <w:sz w:val="20"/>
        </w:rPr>
        <w:t xml:space="preserve"> in Section E).  A user guide is available at </w:t>
      </w:r>
      <w:hyperlink r:id="rId6" w:history="1">
        <w:r w:rsidRPr="004E5F2F">
          <w:rPr>
            <w:rStyle w:val="Hyperlink"/>
            <w:rFonts w:cs="Arial"/>
            <w:b w:val="0"/>
            <w:sz w:val="20"/>
          </w:rPr>
          <w:t>http://www.fs.fed.us/business/incident/vendorsupport.php</w:t>
        </w:r>
      </w:hyperlink>
      <w:r w:rsidRPr="004E5F2F">
        <w:rPr>
          <w:rFonts w:cs="Arial"/>
          <w:b w:val="0"/>
          <w:sz w:val="20"/>
        </w:rPr>
        <w:t>.</w:t>
      </w:r>
    </w:p>
    <w:p w:rsidR="00B928FB" w:rsidRPr="004E5F2F" w:rsidRDefault="00B928FB" w:rsidP="00B928FB">
      <w:pPr>
        <w:pStyle w:val="1"/>
        <w:tabs>
          <w:tab w:val="clear" w:pos="1440"/>
        </w:tabs>
        <w:ind w:left="1710" w:right="720" w:firstLine="0"/>
        <w:rPr>
          <w:rFonts w:cs="Arial"/>
          <w:b w:val="0"/>
          <w:color w:val="FF0000"/>
          <w:sz w:val="20"/>
          <w:highlight w:val="yellow"/>
        </w:rPr>
      </w:pPr>
      <w:proofErr w:type="gramStart"/>
      <w:r w:rsidRPr="004E5F2F">
        <w:rPr>
          <w:rFonts w:cs="Arial"/>
          <w:b w:val="0"/>
          <w:color w:val="FF0000"/>
          <w:sz w:val="20"/>
          <w:highlight w:val="yellow"/>
        </w:rPr>
        <w:t>a.  VIPR</w:t>
      </w:r>
      <w:proofErr w:type="gramEnd"/>
      <w:r w:rsidRPr="004E5F2F">
        <w:rPr>
          <w:rFonts w:cs="Arial"/>
          <w:b w:val="0"/>
          <w:color w:val="FF0000"/>
          <w:sz w:val="20"/>
          <w:highlight w:val="yellow"/>
        </w:rPr>
        <w:t xml:space="preserve"> Vendor Application</w:t>
      </w:r>
    </w:p>
    <w:p w:rsidR="00B928FB" w:rsidRPr="004E5F2F" w:rsidRDefault="006F2345" w:rsidP="006F2345">
      <w:pPr>
        <w:pStyle w:val="1"/>
        <w:tabs>
          <w:tab w:val="clear" w:pos="1440"/>
          <w:tab w:val="clear" w:pos="2160"/>
          <w:tab w:val="left" w:pos="2430"/>
        </w:tabs>
        <w:ind w:left="2430" w:right="720" w:hanging="270"/>
        <w:rPr>
          <w:rFonts w:cs="Arial"/>
          <w:b w:val="0"/>
          <w:color w:val="FF0000"/>
          <w:sz w:val="20"/>
          <w:highlight w:val="yellow"/>
        </w:rPr>
      </w:pPr>
      <w:r w:rsidRPr="004E5F2F">
        <w:rPr>
          <w:rFonts w:cs="Arial"/>
          <w:b w:val="0"/>
          <w:color w:val="FF0000"/>
          <w:sz w:val="20"/>
          <w:highlight w:val="yellow"/>
        </w:rPr>
        <w:t>i.</w:t>
      </w:r>
      <w:r w:rsidRPr="004E5F2F">
        <w:rPr>
          <w:rFonts w:cs="Arial"/>
          <w:b w:val="0"/>
          <w:color w:val="FF0000"/>
          <w:sz w:val="20"/>
          <w:highlight w:val="yellow"/>
        </w:rPr>
        <w:tab/>
        <w:t>T</w:t>
      </w:r>
      <w:r w:rsidR="007912B2">
        <w:rPr>
          <w:rFonts w:cs="Arial"/>
          <w:b w:val="0"/>
          <w:color w:val="FF0000"/>
          <w:sz w:val="20"/>
          <w:highlight w:val="yellow"/>
        </w:rPr>
        <w:t xml:space="preserve">his </w:t>
      </w:r>
      <w:r w:rsidR="00B928FB" w:rsidRPr="004E5F2F">
        <w:rPr>
          <w:rFonts w:cs="Arial"/>
          <w:b w:val="0"/>
          <w:color w:val="FF0000"/>
          <w:sz w:val="20"/>
          <w:highlight w:val="yellow"/>
        </w:rPr>
        <w:t>solicitation requires vendors to submit their quotes using the VIPR Vendor Application.</w:t>
      </w:r>
    </w:p>
    <w:p w:rsidR="00B928FB" w:rsidRPr="004E5F2F" w:rsidRDefault="006F2345" w:rsidP="006F2345">
      <w:pPr>
        <w:pStyle w:val="1"/>
        <w:tabs>
          <w:tab w:val="clear" w:pos="1440"/>
          <w:tab w:val="clear" w:pos="2160"/>
          <w:tab w:val="left" w:pos="2430"/>
        </w:tabs>
        <w:ind w:left="2430" w:right="720" w:hanging="270"/>
        <w:rPr>
          <w:rFonts w:cs="Arial"/>
          <w:b w:val="0"/>
          <w:color w:val="FF0000"/>
          <w:sz w:val="20"/>
          <w:highlight w:val="yellow"/>
        </w:rPr>
      </w:pPr>
      <w:r w:rsidRPr="004E5F2F">
        <w:rPr>
          <w:rFonts w:cs="Arial"/>
          <w:b w:val="0"/>
          <w:color w:val="FF0000"/>
          <w:sz w:val="20"/>
          <w:highlight w:val="yellow"/>
        </w:rPr>
        <w:t>ii.</w:t>
      </w:r>
      <w:r w:rsidRPr="004E5F2F">
        <w:rPr>
          <w:rFonts w:cs="Arial"/>
          <w:b w:val="0"/>
          <w:color w:val="FF0000"/>
          <w:sz w:val="20"/>
          <w:highlight w:val="yellow"/>
        </w:rPr>
        <w:tab/>
      </w:r>
      <w:r w:rsidR="00B928FB" w:rsidRPr="004E5F2F">
        <w:rPr>
          <w:rFonts w:cs="Arial"/>
          <w:b w:val="0"/>
          <w:color w:val="FF0000"/>
          <w:sz w:val="20"/>
          <w:highlight w:val="yellow"/>
        </w:rPr>
        <w:t xml:space="preserve">To access the VIPR Vendor application, go to </w:t>
      </w:r>
      <w:hyperlink r:id="rId7" w:history="1">
        <w:r w:rsidR="00B928FB" w:rsidRPr="004E5F2F">
          <w:rPr>
            <w:rStyle w:val="Hyperlink"/>
            <w:rFonts w:cs="Arial"/>
            <w:b w:val="0"/>
            <w:color w:val="FF0000"/>
            <w:sz w:val="20"/>
            <w:highlight w:val="yellow"/>
          </w:rPr>
          <w:t>http://www.fs.fed.us/business/incident/vendorapp.php</w:t>
        </w:r>
      </w:hyperlink>
    </w:p>
    <w:p w:rsidR="00B928FB" w:rsidRPr="004E5F2F" w:rsidRDefault="006F2345" w:rsidP="006F2345">
      <w:pPr>
        <w:pStyle w:val="1"/>
        <w:tabs>
          <w:tab w:val="clear" w:pos="1440"/>
          <w:tab w:val="clear" w:pos="2160"/>
          <w:tab w:val="left" w:pos="2430"/>
        </w:tabs>
        <w:ind w:left="2430" w:right="720" w:hanging="270"/>
        <w:rPr>
          <w:rFonts w:cs="Arial"/>
          <w:b w:val="0"/>
          <w:color w:val="FF0000"/>
          <w:sz w:val="20"/>
          <w:highlight w:val="yellow"/>
        </w:rPr>
      </w:pPr>
      <w:r w:rsidRPr="004E5F2F">
        <w:rPr>
          <w:rFonts w:cs="Arial"/>
          <w:b w:val="0"/>
          <w:color w:val="FF0000"/>
          <w:sz w:val="20"/>
          <w:highlight w:val="yellow"/>
        </w:rPr>
        <w:t>iii.</w:t>
      </w:r>
      <w:r w:rsidRPr="004E5F2F">
        <w:rPr>
          <w:rFonts w:cs="Arial"/>
          <w:b w:val="0"/>
          <w:color w:val="FF0000"/>
          <w:sz w:val="20"/>
          <w:highlight w:val="yellow"/>
        </w:rPr>
        <w:tab/>
      </w:r>
      <w:r w:rsidR="00B928FB" w:rsidRPr="004E5F2F">
        <w:rPr>
          <w:rFonts w:cs="Arial"/>
          <w:b w:val="0"/>
          <w:color w:val="FF0000"/>
          <w:sz w:val="20"/>
          <w:highlight w:val="yellow"/>
        </w:rPr>
        <w:t>You will find:</w:t>
      </w:r>
    </w:p>
    <w:p w:rsidR="00B928FB" w:rsidRPr="004E5F2F" w:rsidRDefault="006F2345" w:rsidP="006F2345">
      <w:pPr>
        <w:pStyle w:val="1"/>
        <w:tabs>
          <w:tab w:val="clear" w:pos="1440"/>
          <w:tab w:val="clear" w:pos="2160"/>
        </w:tabs>
        <w:ind w:left="2430" w:right="720" w:firstLine="0"/>
        <w:rPr>
          <w:rFonts w:cs="Arial"/>
          <w:b w:val="0"/>
          <w:color w:val="FF0000"/>
          <w:sz w:val="20"/>
          <w:highlight w:val="yellow"/>
        </w:rPr>
      </w:pPr>
      <w:r w:rsidRPr="004E5F2F">
        <w:rPr>
          <w:rFonts w:cs="Arial"/>
          <w:b w:val="0"/>
          <w:color w:val="FF0000"/>
          <w:sz w:val="20"/>
          <w:highlight w:val="yellow"/>
        </w:rPr>
        <w:t xml:space="preserve">1.  </w:t>
      </w:r>
      <w:r w:rsidR="00B928FB" w:rsidRPr="004E5F2F">
        <w:rPr>
          <w:rFonts w:cs="Arial"/>
          <w:b w:val="0"/>
          <w:color w:val="FF0000"/>
          <w:sz w:val="20"/>
          <w:highlight w:val="yellow"/>
        </w:rPr>
        <w:t>A link to log into the VIPR Vendor Application</w:t>
      </w:r>
    </w:p>
    <w:p w:rsidR="00B928FB" w:rsidRPr="004E5F2F" w:rsidRDefault="006F2345" w:rsidP="006F2345">
      <w:pPr>
        <w:pStyle w:val="1"/>
        <w:tabs>
          <w:tab w:val="clear" w:pos="1440"/>
          <w:tab w:val="clear" w:pos="2160"/>
        </w:tabs>
        <w:ind w:left="2700" w:right="720" w:hanging="270"/>
        <w:rPr>
          <w:rFonts w:cs="Arial"/>
          <w:b w:val="0"/>
          <w:color w:val="FF0000"/>
          <w:sz w:val="20"/>
          <w:highlight w:val="yellow"/>
        </w:rPr>
      </w:pPr>
      <w:r w:rsidRPr="004E5F2F">
        <w:rPr>
          <w:rFonts w:cs="Arial"/>
          <w:b w:val="0"/>
          <w:color w:val="FF0000"/>
          <w:sz w:val="20"/>
          <w:highlight w:val="yellow"/>
        </w:rPr>
        <w:t xml:space="preserve">2.  </w:t>
      </w:r>
      <w:r w:rsidR="00B928FB" w:rsidRPr="004E5F2F">
        <w:rPr>
          <w:rFonts w:cs="Arial"/>
          <w:b w:val="0"/>
          <w:color w:val="FF0000"/>
          <w:sz w:val="20"/>
          <w:highlight w:val="yellow"/>
        </w:rPr>
        <w:t>Information and instructions specific to the Vendor Application, including how to submit your E00 Representations and Certifications FAR 52.212-3</w:t>
      </w:r>
    </w:p>
    <w:p w:rsidR="00B928FB" w:rsidRPr="004E5F2F" w:rsidRDefault="006F2345" w:rsidP="006F2345">
      <w:pPr>
        <w:pStyle w:val="ListParagraph"/>
        <w:tabs>
          <w:tab w:val="left" w:pos="1710"/>
        </w:tabs>
        <w:spacing w:after="0" w:line="240" w:lineRule="auto"/>
        <w:ind w:left="1710" w:right="720" w:hanging="270"/>
        <w:rPr>
          <w:rFonts w:ascii="Arial" w:hAnsi="Arial" w:cs="Arial"/>
          <w:sz w:val="20"/>
          <w:szCs w:val="20"/>
        </w:rPr>
      </w:pPr>
      <w:r w:rsidRPr="004E5F2F">
        <w:rPr>
          <w:rFonts w:ascii="Arial" w:hAnsi="Arial" w:cs="Arial"/>
          <w:bCs/>
          <w:sz w:val="20"/>
          <w:szCs w:val="20"/>
        </w:rPr>
        <w:t xml:space="preserve">2.  </w:t>
      </w:r>
      <w:r w:rsidR="00B928FB" w:rsidRPr="004E5F2F">
        <w:rPr>
          <w:rFonts w:ascii="Arial" w:hAnsi="Arial" w:cs="Arial"/>
          <w:bCs/>
          <w:color w:val="FF0000"/>
          <w:sz w:val="20"/>
          <w:szCs w:val="20"/>
          <w:highlight w:val="yellow"/>
        </w:rPr>
        <w:t xml:space="preserve">Contractors shall complete their Representations and Certifications in the Online Representations and Certifications Application (ORCA) website located at </w:t>
      </w:r>
      <w:hyperlink r:id="rId8" w:history="1">
        <w:r w:rsidR="00B928FB" w:rsidRPr="004E5F2F">
          <w:rPr>
            <w:rStyle w:val="Hyperlink"/>
            <w:rFonts w:ascii="Arial" w:hAnsi="Arial" w:cs="Arial"/>
            <w:bCs/>
            <w:color w:val="FF0000"/>
            <w:sz w:val="20"/>
            <w:szCs w:val="20"/>
            <w:highlight w:val="yellow"/>
          </w:rPr>
          <w:t>https://www.acquisition.gov</w:t>
        </w:r>
      </w:hyperlink>
      <w:r w:rsidR="00B928FB" w:rsidRPr="004E5F2F">
        <w:rPr>
          <w:rFonts w:ascii="Arial" w:hAnsi="Arial" w:cs="Arial"/>
          <w:bCs/>
          <w:color w:val="FF0000"/>
          <w:sz w:val="20"/>
          <w:szCs w:val="20"/>
          <w:highlight w:val="yellow"/>
        </w:rPr>
        <w:t>.</w:t>
      </w:r>
      <w:r w:rsidR="00B928FB" w:rsidRPr="004E5F2F">
        <w:rPr>
          <w:rFonts w:ascii="Arial" w:hAnsi="Arial" w:cs="Arial"/>
          <w:bCs/>
          <w:color w:val="FF0000"/>
          <w:sz w:val="20"/>
          <w:szCs w:val="20"/>
        </w:rPr>
        <w:t xml:space="preserve"> </w:t>
      </w:r>
      <w:r w:rsidR="00B928FB" w:rsidRPr="004E5F2F">
        <w:rPr>
          <w:rFonts w:ascii="Arial" w:hAnsi="Arial" w:cs="Arial"/>
          <w:sz w:val="20"/>
          <w:szCs w:val="20"/>
        </w:rPr>
        <w:t xml:space="preserve">If the Contractor chooses not to complete “FAR 52.212-3, </w:t>
      </w:r>
      <w:proofErr w:type="spellStart"/>
      <w:r w:rsidR="00B928FB" w:rsidRPr="004E5F2F">
        <w:rPr>
          <w:rFonts w:ascii="Arial" w:hAnsi="Arial" w:cs="Arial"/>
          <w:sz w:val="20"/>
          <w:szCs w:val="20"/>
        </w:rPr>
        <w:t>Offeror</w:t>
      </w:r>
      <w:proofErr w:type="spellEnd"/>
      <w:r w:rsidR="00B928FB" w:rsidRPr="004E5F2F">
        <w:rPr>
          <w:rFonts w:ascii="Arial" w:hAnsi="Arial" w:cs="Arial"/>
          <w:sz w:val="20"/>
          <w:szCs w:val="20"/>
        </w:rPr>
        <w:t xml:space="preserve"> Representations and Certifications – Commercial Items” (see E.3) on-line, then a completed copy of this clause shall be submitted with the quote. </w:t>
      </w:r>
    </w:p>
    <w:p w:rsidR="006F2345" w:rsidRPr="004E5F2F" w:rsidRDefault="00A865CC" w:rsidP="004E5F2F">
      <w:pPr>
        <w:pStyle w:val="NormalWeb"/>
        <w:numPr>
          <w:ilvl w:val="0"/>
          <w:numId w:val="8"/>
        </w:numPr>
        <w:rPr>
          <w:rFonts w:ascii="Arial" w:hAnsi="Arial" w:cs="Arial"/>
        </w:rPr>
      </w:pPr>
      <w:r w:rsidRPr="004E5F2F">
        <w:rPr>
          <w:rFonts w:ascii="Arial" w:hAnsi="Arial" w:cs="Arial"/>
          <w:b/>
          <w:u w:val="single"/>
        </w:rPr>
        <w:t>C01 – Terms and Conditions.</w:t>
      </w:r>
      <w:r w:rsidR="006F2345" w:rsidRPr="004E5F2F">
        <w:rPr>
          <w:rFonts w:ascii="Arial" w:hAnsi="Arial" w:cs="Arial"/>
        </w:rPr>
        <w:t xml:space="preserve">  FAR 52.212-5 was amended with latest changes as of </w:t>
      </w:r>
      <w:r w:rsidR="004E462D">
        <w:rPr>
          <w:rFonts w:ascii="Arial" w:hAnsi="Arial" w:cs="Arial"/>
        </w:rPr>
        <w:t>April</w:t>
      </w:r>
      <w:r w:rsidR="006F2345" w:rsidRPr="004E5F2F">
        <w:rPr>
          <w:rFonts w:ascii="Arial" w:hAnsi="Arial" w:cs="Arial"/>
        </w:rPr>
        <w:t xml:space="preserve"> 2012 to update references to authoritative accounting standards owing to the Financial Accounting Standards Board's Accounting Standards Codification of Generally Accepted Accounting Principles (``Codification of GAAP''). These revisions have no effect other than to simply replace the superseded references with updated references.  Dates for the following references were revised:  (b</w:t>
      </w:r>
      <w:proofErr w:type="gramStart"/>
      <w:r w:rsidR="006F2345" w:rsidRPr="004E5F2F">
        <w:rPr>
          <w:rFonts w:ascii="Arial" w:hAnsi="Arial" w:cs="Arial"/>
        </w:rPr>
        <w:t>)(</w:t>
      </w:r>
      <w:proofErr w:type="gramEnd"/>
      <w:r w:rsidR="006F2345" w:rsidRPr="004E5F2F">
        <w:rPr>
          <w:rFonts w:ascii="Arial" w:hAnsi="Arial" w:cs="Arial"/>
        </w:rPr>
        <w:t>4), (b)(9), (b)(12), (b)(22), (b)(24), (b)(25), (b)(27), (b)(40) and (b)(41).</w:t>
      </w:r>
      <w:r w:rsidR="006F2345" w:rsidRPr="004E5F2F">
        <w:rPr>
          <w:rFonts w:ascii="Arial" w:hAnsi="Arial" w:cs="Arial"/>
        </w:rPr>
        <w:br/>
      </w:r>
    </w:p>
    <w:p w:rsidR="00A865CC" w:rsidRPr="004E5F2F" w:rsidRDefault="00A865CC" w:rsidP="004E5F2F">
      <w:pPr>
        <w:pStyle w:val="NormalWeb"/>
        <w:numPr>
          <w:ilvl w:val="0"/>
          <w:numId w:val="8"/>
        </w:numPr>
        <w:rPr>
          <w:rFonts w:ascii="Arial" w:hAnsi="Arial" w:cs="Arial"/>
        </w:rPr>
      </w:pPr>
      <w:r w:rsidRPr="004E5F2F">
        <w:rPr>
          <w:rFonts w:ascii="Arial" w:hAnsi="Arial" w:cs="Arial"/>
          <w:b/>
          <w:u w:val="single"/>
        </w:rPr>
        <w:t xml:space="preserve">C02 </w:t>
      </w:r>
      <w:r w:rsidR="006F2345" w:rsidRPr="004E5F2F">
        <w:rPr>
          <w:rFonts w:ascii="Arial" w:hAnsi="Arial" w:cs="Arial"/>
          <w:b/>
          <w:u w:val="single"/>
        </w:rPr>
        <w:t xml:space="preserve">– </w:t>
      </w:r>
      <w:r w:rsidRPr="004E5F2F">
        <w:rPr>
          <w:rFonts w:ascii="Arial" w:hAnsi="Arial" w:cs="Arial"/>
          <w:b/>
          <w:u w:val="single"/>
        </w:rPr>
        <w:t>Clauses by Reference – With Bio Based Products.</w:t>
      </w:r>
      <w:r w:rsidR="006F2345" w:rsidRPr="004E5F2F">
        <w:rPr>
          <w:rFonts w:ascii="Arial" w:hAnsi="Arial" w:cs="Arial"/>
        </w:rPr>
        <w:t xml:space="preserve">  FAR 52.212-4 was amended with the latest changes as of March 2012 (as described above with C01).</w:t>
      </w:r>
      <w:r w:rsidR="00C46EB4" w:rsidRPr="004E5F2F">
        <w:rPr>
          <w:rFonts w:ascii="Arial" w:hAnsi="Arial" w:cs="Arial"/>
        </w:rPr>
        <w:br/>
      </w:r>
    </w:p>
    <w:p w:rsidR="00A865CC" w:rsidRPr="004E5F2F" w:rsidRDefault="00A865CC" w:rsidP="004E5F2F">
      <w:pPr>
        <w:pStyle w:val="NormalWeb"/>
        <w:numPr>
          <w:ilvl w:val="0"/>
          <w:numId w:val="8"/>
        </w:numPr>
        <w:rPr>
          <w:rFonts w:ascii="Arial" w:hAnsi="Arial" w:cs="Arial"/>
        </w:rPr>
      </w:pPr>
      <w:r w:rsidRPr="004E5F2F">
        <w:rPr>
          <w:rFonts w:ascii="Arial" w:hAnsi="Arial" w:cs="Arial"/>
          <w:b/>
          <w:u w:val="single"/>
        </w:rPr>
        <w:t>D08 – Information Provided by Contractor.</w:t>
      </w:r>
      <w:r w:rsidR="00C46EB4" w:rsidRPr="004E5F2F">
        <w:rPr>
          <w:rFonts w:ascii="Arial" w:hAnsi="Arial" w:cs="Arial"/>
        </w:rPr>
        <w:t xml:space="preserve">  Language was changed to read that contractor shall “arrive” at the incident with two copies of the complete agreement rather than “carry” two copies as follows:</w:t>
      </w:r>
    </w:p>
    <w:p w:rsidR="00C46EB4" w:rsidRPr="004E5F2F" w:rsidRDefault="00C46EB4" w:rsidP="00C46EB4">
      <w:pPr>
        <w:pStyle w:val="ListParagraph"/>
        <w:ind w:left="1440" w:right="720"/>
        <w:rPr>
          <w:rFonts w:ascii="Arial" w:hAnsi="Arial" w:cs="Arial"/>
          <w:sz w:val="20"/>
          <w:szCs w:val="20"/>
        </w:rPr>
      </w:pPr>
      <w:r w:rsidRPr="004E5F2F">
        <w:rPr>
          <w:rFonts w:ascii="Arial" w:hAnsi="Arial" w:cs="Arial"/>
          <w:sz w:val="20"/>
          <w:szCs w:val="20"/>
        </w:rPr>
        <w:t xml:space="preserve">The Contractor shall </w:t>
      </w:r>
      <w:proofErr w:type="gramStart"/>
      <w:r w:rsidRPr="004E5F2F">
        <w:rPr>
          <w:rFonts w:ascii="Arial" w:hAnsi="Arial" w:cs="Arial"/>
          <w:color w:val="FF0000"/>
          <w:sz w:val="20"/>
          <w:szCs w:val="20"/>
          <w:highlight w:val="yellow"/>
        </w:rPr>
        <w:t>arrive</w:t>
      </w:r>
      <w:proofErr w:type="gramEnd"/>
      <w:r w:rsidRPr="004E5F2F">
        <w:rPr>
          <w:rFonts w:ascii="Arial" w:hAnsi="Arial" w:cs="Arial"/>
          <w:sz w:val="20"/>
          <w:szCs w:val="20"/>
          <w:highlight w:val="yellow"/>
        </w:rPr>
        <w:t xml:space="preserve"> </w:t>
      </w:r>
      <w:r w:rsidRPr="004E5F2F">
        <w:rPr>
          <w:rFonts w:ascii="Arial" w:hAnsi="Arial" w:cs="Arial"/>
          <w:strike/>
          <w:sz w:val="20"/>
          <w:szCs w:val="20"/>
          <w:highlight w:val="yellow"/>
        </w:rPr>
        <w:t>carry</w:t>
      </w:r>
      <w:r w:rsidRPr="004E5F2F">
        <w:rPr>
          <w:rFonts w:ascii="Arial" w:hAnsi="Arial" w:cs="Arial"/>
          <w:sz w:val="20"/>
          <w:szCs w:val="20"/>
        </w:rPr>
        <w:t xml:space="preserve"> at the incident with a minimum of two copies of the complete Agreement </w:t>
      </w:r>
      <w:r w:rsidRPr="004E5F2F">
        <w:rPr>
          <w:rFonts w:ascii="Arial" w:hAnsi="Arial" w:cs="Arial"/>
          <w:strike/>
          <w:sz w:val="20"/>
          <w:szCs w:val="20"/>
          <w:highlight w:val="yellow"/>
        </w:rPr>
        <w:t>at all times</w:t>
      </w:r>
      <w:r w:rsidRPr="004E5F2F">
        <w:rPr>
          <w:rFonts w:ascii="Arial" w:hAnsi="Arial" w:cs="Arial"/>
          <w:sz w:val="20"/>
          <w:szCs w:val="20"/>
        </w:rPr>
        <w:t>.  The Contractor shall furnish a copy of the Agreement to the Finance Unit upon request.</w:t>
      </w:r>
    </w:p>
    <w:p w:rsidR="00A865CC" w:rsidRPr="004E5F2F" w:rsidRDefault="00A865CC" w:rsidP="004E5F2F">
      <w:pPr>
        <w:pStyle w:val="NormalWeb"/>
        <w:numPr>
          <w:ilvl w:val="0"/>
          <w:numId w:val="8"/>
        </w:numPr>
        <w:rPr>
          <w:rFonts w:ascii="Arial" w:hAnsi="Arial" w:cs="Arial"/>
        </w:rPr>
      </w:pPr>
      <w:r w:rsidRPr="004E5F2F">
        <w:rPr>
          <w:rFonts w:ascii="Arial" w:hAnsi="Arial" w:cs="Arial"/>
          <w:b/>
          <w:u w:val="single"/>
        </w:rPr>
        <w:t>D22 – Replacement of Resources.</w:t>
      </w:r>
      <w:r w:rsidR="00A22C87" w:rsidRPr="004E5F2F">
        <w:rPr>
          <w:rFonts w:ascii="Arial" w:hAnsi="Arial" w:cs="Arial"/>
        </w:rPr>
        <w:t xml:space="preserve">  Language is changed as follows:</w:t>
      </w:r>
    </w:p>
    <w:p w:rsidR="00A22C87" w:rsidRPr="004E5F2F" w:rsidRDefault="00A22C87" w:rsidP="00A22C87">
      <w:pPr>
        <w:pStyle w:val="ListParagraph"/>
        <w:ind w:left="1440" w:right="720"/>
        <w:rPr>
          <w:rFonts w:ascii="Arial" w:hAnsi="Arial" w:cs="Arial"/>
          <w:sz w:val="20"/>
          <w:szCs w:val="20"/>
        </w:rPr>
      </w:pPr>
      <w:r w:rsidRPr="004E5F2F">
        <w:rPr>
          <w:rFonts w:ascii="Arial" w:hAnsi="Arial" w:cs="Arial"/>
          <w:color w:val="FF0000"/>
          <w:sz w:val="20"/>
          <w:szCs w:val="20"/>
          <w:highlight w:val="yellow"/>
        </w:rPr>
        <w:t>At the discretion of the CO</w:t>
      </w:r>
      <w:r w:rsidRPr="004E5F2F">
        <w:rPr>
          <w:rFonts w:ascii="Arial" w:hAnsi="Arial" w:cs="Arial"/>
          <w:sz w:val="20"/>
          <w:szCs w:val="20"/>
        </w:rPr>
        <w:t xml:space="preserve">, resources may be replaced with </w:t>
      </w:r>
      <w:r w:rsidRPr="004E5F2F">
        <w:rPr>
          <w:rFonts w:ascii="Arial" w:hAnsi="Arial" w:cs="Arial"/>
          <w:strike/>
          <w:sz w:val="20"/>
          <w:szCs w:val="20"/>
          <w:highlight w:val="yellow"/>
        </w:rPr>
        <w:t>an</w:t>
      </w:r>
      <w:r w:rsidRPr="004E5F2F">
        <w:rPr>
          <w:rFonts w:ascii="Arial" w:hAnsi="Arial" w:cs="Arial"/>
          <w:sz w:val="20"/>
          <w:szCs w:val="20"/>
        </w:rPr>
        <w:t xml:space="preserve"> equal or better </w:t>
      </w:r>
      <w:r w:rsidRPr="004E5F2F">
        <w:rPr>
          <w:rFonts w:ascii="Arial" w:hAnsi="Arial" w:cs="Arial"/>
          <w:strike/>
          <w:sz w:val="20"/>
          <w:szCs w:val="20"/>
          <w:highlight w:val="yellow"/>
        </w:rPr>
        <w:t>equipment</w:t>
      </w:r>
      <w:r w:rsidRPr="004E5F2F">
        <w:rPr>
          <w:rFonts w:ascii="Arial" w:hAnsi="Arial" w:cs="Arial"/>
          <w:sz w:val="20"/>
          <w:szCs w:val="20"/>
        </w:rPr>
        <w:t xml:space="preserve"> </w:t>
      </w:r>
      <w:r w:rsidRPr="004E5F2F">
        <w:rPr>
          <w:rFonts w:ascii="Arial" w:hAnsi="Arial" w:cs="Arial"/>
          <w:color w:val="FF0000"/>
          <w:sz w:val="20"/>
          <w:szCs w:val="20"/>
          <w:highlight w:val="yellow"/>
        </w:rPr>
        <w:t>resource</w:t>
      </w:r>
      <w:r w:rsidRPr="004E5F2F">
        <w:rPr>
          <w:rFonts w:ascii="Arial" w:hAnsi="Arial" w:cs="Arial"/>
          <w:sz w:val="20"/>
          <w:szCs w:val="20"/>
        </w:rPr>
        <w:t xml:space="preserve"> at any time without change to the agreement rates or position on the Dispatch Priority List.  Replacement resources shall be inspected and accepted, </w:t>
      </w:r>
      <w:r w:rsidRPr="004E5F2F">
        <w:rPr>
          <w:rFonts w:ascii="Arial" w:hAnsi="Arial" w:cs="Arial"/>
          <w:strike/>
          <w:sz w:val="20"/>
          <w:szCs w:val="20"/>
          <w:highlight w:val="yellow"/>
        </w:rPr>
        <w:t>if</w:t>
      </w:r>
      <w:r w:rsidRPr="004E5F2F">
        <w:rPr>
          <w:rFonts w:ascii="Arial" w:hAnsi="Arial" w:cs="Arial"/>
          <w:sz w:val="20"/>
          <w:szCs w:val="20"/>
          <w:highlight w:val="yellow"/>
        </w:rPr>
        <w:t xml:space="preserve"> </w:t>
      </w:r>
      <w:r w:rsidRPr="004E5F2F">
        <w:rPr>
          <w:rFonts w:ascii="Arial" w:hAnsi="Arial" w:cs="Arial"/>
          <w:color w:val="FF0000"/>
          <w:sz w:val="20"/>
          <w:szCs w:val="20"/>
          <w:highlight w:val="yellow"/>
        </w:rPr>
        <w:t>as</w:t>
      </w:r>
      <w:r w:rsidRPr="004E5F2F">
        <w:rPr>
          <w:rFonts w:ascii="Arial" w:hAnsi="Arial" w:cs="Arial"/>
          <w:sz w:val="20"/>
          <w:szCs w:val="20"/>
        </w:rPr>
        <w:t xml:space="preserve"> required by the solicitation, and approved in advance of use </w:t>
      </w:r>
      <w:r w:rsidRPr="004E5F2F">
        <w:rPr>
          <w:rFonts w:ascii="Arial" w:hAnsi="Arial" w:cs="Arial"/>
          <w:strike/>
          <w:sz w:val="20"/>
          <w:szCs w:val="20"/>
          <w:highlight w:val="yellow"/>
        </w:rPr>
        <w:lastRenderedPageBreak/>
        <w:t>by the CO</w:t>
      </w:r>
      <w:r w:rsidRPr="004E5F2F">
        <w:rPr>
          <w:rFonts w:ascii="Arial" w:hAnsi="Arial" w:cs="Arial"/>
          <w:sz w:val="20"/>
          <w:szCs w:val="20"/>
        </w:rPr>
        <w:t xml:space="preserve">.  </w:t>
      </w:r>
      <w:r w:rsidRPr="004E5F2F">
        <w:rPr>
          <w:rFonts w:ascii="Arial" w:hAnsi="Arial" w:cs="Arial"/>
          <w:strike/>
          <w:sz w:val="20"/>
          <w:szCs w:val="20"/>
          <w:highlight w:val="yellow"/>
        </w:rPr>
        <w:t>Replacement shall be permanent; intermittent replacement is not allowed and</w:t>
      </w:r>
      <w:r w:rsidRPr="004E5F2F">
        <w:rPr>
          <w:rFonts w:ascii="Arial" w:hAnsi="Arial" w:cs="Arial"/>
          <w:sz w:val="20"/>
          <w:szCs w:val="20"/>
        </w:rPr>
        <w:t xml:space="preserve"> Additional resources may not be added to the agreement.</w:t>
      </w:r>
    </w:p>
    <w:p w:rsidR="00A22C87" w:rsidRPr="004E5F2F" w:rsidRDefault="00A22C87" w:rsidP="00A22C87">
      <w:pPr>
        <w:pStyle w:val="NormalWeb"/>
        <w:ind w:left="720"/>
        <w:rPr>
          <w:rFonts w:ascii="Arial" w:hAnsi="Arial" w:cs="Arial"/>
        </w:rPr>
      </w:pPr>
    </w:p>
    <w:p w:rsidR="00060777" w:rsidRDefault="00A865CC" w:rsidP="004E5F2F">
      <w:pPr>
        <w:pStyle w:val="NormalWeb"/>
        <w:numPr>
          <w:ilvl w:val="0"/>
          <w:numId w:val="8"/>
        </w:numPr>
        <w:rPr>
          <w:rFonts w:ascii="Arial" w:hAnsi="Arial" w:cs="Arial"/>
        </w:rPr>
      </w:pPr>
      <w:r w:rsidRPr="004E5F2F">
        <w:rPr>
          <w:rFonts w:ascii="Arial" w:hAnsi="Arial" w:cs="Arial"/>
          <w:b/>
          <w:u w:val="single"/>
        </w:rPr>
        <w:t>Exhibit A – Definitions and Abbreviations.</w:t>
      </w:r>
      <w:r w:rsidR="00A22C87" w:rsidRPr="004E5F2F">
        <w:rPr>
          <w:rFonts w:ascii="Arial" w:hAnsi="Arial" w:cs="Arial"/>
        </w:rPr>
        <w:t xml:space="preserve">  </w:t>
      </w:r>
    </w:p>
    <w:p w:rsidR="00060777" w:rsidRDefault="00A22C87" w:rsidP="00060777">
      <w:pPr>
        <w:pStyle w:val="NormalWeb"/>
        <w:numPr>
          <w:ilvl w:val="1"/>
          <w:numId w:val="8"/>
        </w:numPr>
        <w:ind w:left="1080"/>
        <w:rPr>
          <w:rFonts w:ascii="Arial" w:hAnsi="Arial" w:cs="Arial"/>
        </w:rPr>
      </w:pPr>
      <w:r w:rsidRPr="004E5F2F">
        <w:rPr>
          <w:rFonts w:ascii="Arial" w:hAnsi="Arial" w:cs="Arial"/>
        </w:rPr>
        <w:t>A reference for “ICPI – Incident Contract Project Inspector” was added.</w:t>
      </w:r>
    </w:p>
    <w:p w:rsidR="00060777" w:rsidRDefault="00060777" w:rsidP="00060777">
      <w:pPr>
        <w:pStyle w:val="NormalWeb"/>
        <w:numPr>
          <w:ilvl w:val="1"/>
          <w:numId w:val="8"/>
        </w:numPr>
        <w:ind w:left="1080" w:right="720"/>
        <w:rPr>
          <w:rFonts w:ascii="Arial" w:hAnsi="Arial" w:cs="Arial"/>
        </w:rPr>
      </w:pPr>
      <w:r>
        <w:rPr>
          <w:rFonts w:ascii="Arial" w:hAnsi="Arial" w:cs="Arial"/>
        </w:rPr>
        <w:t>The definition of Point of Hire was changed as follows:</w:t>
      </w:r>
    </w:p>
    <w:p w:rsidR="00060777" w:rsidRPr="005964AE" w:rsidRDefault="00060777" w:rsidP="00060777">
      <w:pPr>
        <w:pStyle w:val="NormalWeb"/>
        <w:spacing w:after="240"/>
        <w:ind w:left="1440" w:right="990"/>
        <w:rPr>
          <w:rFonts w:ascii="Arial" w:hAnsi="Arial" w:cs="Arial"/>
          <w:color w:val="000000"/>
          <w:sz w:val="20"/>
          <w:szCs w:val="20"/>
        </w:rPr>
      </w:pPr>
      <w:r w:rsidRPr="005964AE">
        <w:rPr>
          <w:rFonts w:ascii="Arial" w:hAnsi="Arial" w:cs="Arial"/>
          <w:color w:val="FF0000"/>
          <w:sz w:val="20"/>
          <w:szCs w:val="20"/>
        </w:rPr>
        <w:t xml:space="preserve">POINT OF HIRE – The point of hire is the resource location (City and State) the vendor designates in their offer.  </w:t>
      </w:r>
      <w:r w:rsidRPr="005964AE">
        <w:rPr>
          <w:rFonts w:ascii="Arial" w:hAnsi="Arial" w:cs="Arial"/>
          <w:strike/>
          <w:color w:val="000000"/>
          <w:sz w:val="20"/>
          <w:szCs w:val="20"/>
        </w:rPr>
        <w:t>POINT OF HIRE – The Contractor’s place of business or where resource is located at the time of dispatch.</w:t>
      </w:r>
    </w:p>
    <w:p w:rsidR="00A22C87" w:rsidRPr="004E5F2F" w:rsidRDefault="00A22C87" w:rsidP="00060777">
      <w:pPr>
        <w:pStyle w:val="NormalWeb"/>
        <w:ind w:left="720"/>
        <w:rPr>
          <w:rFonts w:ascii="Arial" w:hAnsi="Arial" w:cs="Arial"/>
        </w:rPr>
      </w:pPr>
      <w:r w:rsidRPr="004E5F2F">
        <w:rPr>
          <w:rFonts w:ascii="Arial" w:hAnsi="Arial" w:cs="Arial"/>
        </w:rPr>
        <w:br/>
      </w:r>
    </w:p>
    <w:p w:rsidR="00A865CC" w:rsidRPr="004E5F2F" w:rsidRDefault="00A865CC" w:rsidP="004E5F2F">
      <w:pPr>
        <w:pStyle w:val="NormalWeb"/>
        <w:numPr>
          <w:ilvl w:val="0"/>
          <w:numId w:val="8"/>
        </w:numPr>
        <w:rPr>
          <w:rFonts w:ascii="Arial" w:hAnsi="Arial" w:cs="Arial"/>
        </w:rPr>
      </w:pPr>
      <w:r w:rsidRPr="004E5F2F">
        <w:rPr>
          <w:rFonts w:ascii="Arial" w:hAnsi="Arial" w:cs="Arial"/>
          <w:b/>
          <w:u w:val="single"/>
        </w:rPr>
        <w:t>Exhibit F – Safety Standards Payment</w:t>
      </w:r>
      <w:r w:rsidR="00A22C87" w:rsidRPr="004E5F2F">
        <w:rPr>
          <w:rFonts w:ascii="Arial" w:hAnsi="Arial" w:cs="Arial"/>
          <w:b/>
          <w:u w:val="single"/>
        </w:rPr>
        <w:t>.</w:t>
      </w:r>
      <w:r w:rsidR="00A22C87" w:rsidRPr="004E5F2F">
        <w:rPr>
          <w:rFonts w:ascii="Arial" w:hAnsi="Arial" w:cs="Arial"/>
        </w:rPr>
        <w:t xml:space="preserve">  </w:t>
      </w:r>
      <w:r w:rsidR="005964AE">
        <w:rPr>
          <w:rFonts w:ascii="Arial" w:hAnsi="Arial" w:cs="Arial"/>
        </w:rPr>
        <w:br/>
        <w:t xml:space="preserve">A.  </w:t>
      </w:r>
      <w:r w:rsidR="00A22C87" w:rsidRPr="004E5F2F">
        <w:rPr>
          <w:rFonts w:ascii="Arial" w:hAnsi="Arial" w:cs="Arial"/>
        </w:rPr>
        <w:t xml:space="preserve">Language specific to Seat Belts was changed as follows:  </w:t>
      </w:r>
    </w:p>
    <w:p w:rsidR="00A22C87" w:rsidRDefault="00A22C87" w:rsidP="00A22C87">
      <w:pPr>
        <w:pStyle w:val="NormalWeb"/>
        <w:ind w:left="1440" w:right="720"/>
        <w:rPr>
          <w:rFonts w:ascii="Arial" w:hAnsi="Arial" w:cs="Arial"/>
          <w:sz w:val="20"/>
          <w:szCs w:val="20"/>
        </w:rPr>
      </w:pPr>
      <w:r w:rsidRPr="004E5F2F">
        <w:rPr>
          <w:rFonts w:ascii="Arial" w:hAnsi="Arial" w:cs="Arial"/>
          <w:color w:val="FF0000"/>
          <w:sz w:val="20"/>
          <w:szCs w:val="20"/>
          <w:highlight w:val="yellow"/>
        </w:rPr>
        <w:t>Seat belts will be available and used in any vehicle when in motion.</w:t>
      </w:r>
      <w:r w:rsidRPr="004E5F2F">
        <w:rPr>
          <w:rFonts w:ascii="Arial" w:hAnsi="Arial" w:cs="Arial"/>
          <w:sz w:val="20"/>
          <w:szCs w:val="20"/>
          <w:highlight w:val="yellow"/>
        </w:rPr>
        <w:t xml:space="preserve">  </w:t>
      </w:r>
      <w:r w:rsidRPr="004E5F2F">
        <w:rPr>
          <w:rFonts w:ascii="Arial" w:hAnsi="Arial" w:cs="Arial"/>
          <w:strike/>
          <w:sz w:val="20"/>
          <w:szCs w:val="20"/>
          <w:highlight w:val="yellow"/>
        </w:rPr>
        <w:t>Seat belts shall comply with applicable Federal Motor Vehicle Safety Standards/OSHA requirements and be used when the vehicle/equipment is in motion.</w:t>
      </w:r>
      <w:r w:rsidRPr="004E5F2F">
        <w:rPr>
          <w:rFonts w:ascii="Arial" w:hAnsi="Arial" w:cs="Arial"/>
          <w:sz w:val="20"/>
          <w:szCs w:val="20"/>
        </w:rPr>
        <w:t xml:space="preserve">  It is the operator’s responsibility to ensure compliance.</w:t>
      </w:r>
    </w:p>
    <w:p w:rsidR="00FF562D" w:rsidRPr="004E5F2F" w:rsidRDefault="00A865CC" w:rsidP="00060777">
      <w:pPr>
        <w:pStyle w:val="NormalWeb"/>
        <w:ind w:right="720"/>
        <w:rPr>
          <w:rFonts w:ascii="Arial" w:hAnsi="Arial" w:cs="Arial"/>
        </w:rPr>
      </w:pPr>
      <w:r w:rsidRPr="004E5F2F">
        <w:rPr>
          <w:rFonts w:ascii="Arial" w:hAnsi="Arial" w:cs="Arial"/>
        </w:rPr>
        <w:t>THE FOLL</w:t>
      </w:r>
      <w:r w:rsidR="00FF562D" w:rsidRPr="004E5F2F">
        <w:rPr>
          <w:rFonts w:ascii="Arial" w:hAnsi="Arial" w:cs="Arial"/>
        </w:rPr>
        <w:t>OWING CHANGES ARE APPLICABLE TO -- Miscellaneous Heavy Equipment Group, Heavy Equipment with Water, and Heavy Equipment:</w:t>
      </w:r>
    </w:p>
    <w:p w:rsidR="002E123B" w:rsidRDefault="00FF562D" w:rsidP="002E123B">
      <w:pPr>
        <w:pStyle w:val="NormalWeb"/>
        <w:numPr>
          <w:ilvl w:val="0"/>
          <w:numId w:val="6"/>
        </w:numPr>
        <w:rPr>
          <w:rFonts w:ascii="Arial" w:hAnsi="Arial" w:cs="Arial"/>
        </w:rPr>
      </w:pPr>
      <w:r w:rsidRPr="00060777">
        <w:rPr>
          <w:rFonts w:ascii="Arial" w:hAnsi="Arial" w:cs="Arial"/>
          <w:b/>
          <w:u w:val="single"/>
        </w:rPr>
        <w:t>D21 – Payments.</w:t>
      </w:r>
      <w:r w:rsidR="002E123B" w:rsidRPr="002E123B">
        <w:rPr>
          <w:rFonts w:ascii="Arial" w:hAnsi="Arial" w:cs="Arial"/>
        </w:rPr>
        <w:t xml:space="preserve"> </w:t>
      </w:r>
      <w:r w:rsidR="002E123B">
        <w:rPr>
          <w:rFonts w:ascii="Arial" w:hAnsi="Arial" w:cs="Arial"/>
        </w:rPr>
        <w:t>Language for D.21.8.1 Rates of Payment is changed to clarify stand-alone transports to read as follows:</w:t>
      </w:r>
    </w:p>
    <w:p w:rsidR="002E123B" w:rsidRPr="008F661E" w:rsidRDefault="002E123B" w:rsidP="002E123B">
      <w:pPr>
        <w:pStyle w:val="ListParagraph"/>
        <w:numPr>
          <w:ilvl w:val="0"/>
          <w:numId w:val="13"/>
        </w:numPr>
        <w:tabs>
          <w:tab w:val="left" w:pos="-810"/>
          <w:tab w:val="left" w:pos="0"/>
          <w:tab w:val="left" w:pos="1710"/>
        </w:tabs>
        <w:autoSpaceDE w:val="0"/>
        <w:autoSpaceDN w:val="0"/>
        <w:adjustRightInd w:val="0"/>
        <w:spacing w:after="0" w:line="240" w:lineRule="auto"/>
        <w:ind w:left="1440" w:firstLine="0"/>
        <w:rPr>
          <w:rFonts w:ascii="Arial" w:hAnsi="Arial" w:cs="Arial"/>
          <w:sz w:val="20"/>
          <w:szCs w:val="20"/>
        </w:rPr>
      </w:pPr>
      <w:r w:rsidRPr="008F661E">
        <w:rPr>
          <w:rFonts w:ascii="Arial" w:hAnsi="Arial" w:cs="Arial"/>
          <w:sz w:val="20"/>
          <w:szCs w:val="20"/>
        </w:rPr>
        <w:t xml:space="preserve">Heavy Equipment </w:t>
      </w:r>
    </w:p>
    <w:p w:rsidR="002E123B" w:rsidRPr="008F661E" w:rsidRDefault="002E123B" w:rsidP="002E123B">
      <w:pPr>
        <w:pStyle w:val="ListParagraph"/>
        <w:numPr>
          <w:ilvl w:val="1"/>
          <w:numId w:val="13"/>
        </w:numPr>
        <w:tabs>
          <w:tab w:val="left" w:pos="-810"/>
          <w:tab w:val="left" w:pos="0"/>
        </w:tabs>
        <w:autoSpaceDE w:val="0"/>
        <w:autoSpaceDN w:val="0"/>
        <w:adjustRightInd w:val="0"/>
        <w:spacing w:after="0" w:line="240" w:lineRule="auto"/>
        <w:ind w:left="1980" w:hanging="270"/>
        <w:rPr>
          <w:rFonts w:ascii="Arial" w:hAnsi="Arial" w:cs="Arial"/>
          <w:sz w:val="20"/>
          <w:szCs w:val="20"/>
        </w:rPr>
      </w:pPr>
      <w:r w:rsidRPr="008F661E">
        <w:rPr>
          <w:rFonts w:ascii="Arial" w:hAnsi="Arial" w:cs="Arial"/>
          <w:sz w:val="20"/>
          <w:szCs w:val="20"/>
        </w:rPr>
        <w:t>On-Shift includes time worked, time that resource is held or directed to be in a state of readiness, and compensable travel (resource traveling under its own power) that has a specific start and ending time.</w:t>
      </w:r>
    </w:p>
    <w:p w:rsidR="002E123B" w:rsidRPr="008F661E" w:rsidRDefault="002E123B" w:rsidP="002E123B">
      <w:pPr>
        <w:pStyle w:val="ListParagraph"/>
        <w:numPr>
          <w:ilvl w:val="1"/>
          <w:numId w:val="13"/>
        </w:numPr>
        <w:tabs>
          <w:tab w:val="left" w:pos="-810"/>
          <w:tab w:val="left" w:pos="0"/>
        </w:tabs>
        <w:autoSpaceDE w:val="0"/>
        <w:autoSpaceDN w:val="0"/>
        <w:adjustRightInd w:val="0"/>
        <w:spacing w:after="0" w:line="240" w:lineRule="auto"/>
        <w:ind w:left="1980" w:hanging="270"/>
        <w:rPr>
          <w:rFonts w:ascii="Arial" w:hAnsi="Arial" w:cs="Arial"/>
          <w:sz w:val="20"/>
          <w:szCs w:val="20"/>
        </w:rPr>
      </w:pPr>
      <w:r w:rsidRPr="008F661E">
        <w:rPr>
          <w:rFonts w:ascii="Arial" w:hAnsi="Arial" w:cs="Arial"/>
          <w:sz w:val="20"/>
          <w:szCs w:val="20"/>
        </w:rPr>
        <w:t xml:space="preserve">DOUBLE SHIFT equipment is staffed with two operators or crews (one per shift). There will be no compensation for a double shift unless a separate operator is ordered in writing for the second shift. Agency personnel at the Section Chief </w:t>
      </w:r>
      <w:proofErr w:type="gramStart"/>
      <w:r w:rsidRPr="008F661E">
        <w:rPr>
          <w:rFonts w:ascii="Arial" w:hAnsi="Arial" w:cs="Arial"/>
          <w:sz w:val="20"/>
          <w:szCs w:val="20"/>
        </w:rPr>
        <w:t>level</w:t>
      </w:r>
      <w:proofErr w:type="gramEnd"/>
      <w:r w:rsidRPr="008F661E">
        <w:rPr>
          <w:rFonts w:ascii="Arial" w:hAnsi="Arial" w:cs="Arial"/>
          <w:sz w:val="20"/>
          <w:szCs w:val="20"/>
        </w:rPr>
        <w:t xml:space="preserve"> may, by resource order, authorize a second operator if needed during the assignment. Double shifts, when ordered, will be paid at 165% of the daily rate.</w:t>
      </w:r>
    </w:p>
    <w:p w:rsidR="002E123B" w:rsidRPr="008F661E" w:rsidRDefault="002E123B" w:rsidP="002E123B">
      <w:pPr>
        <w:pStyle w:val="ListParagraph"/>
        <w:numPr>
          <w:ilvl w:val="1"/>
          <w:numId w:val="13"/>
        </w:numPr>
        <w:tabs>
          <w:tab w:val="left" w:pos="-810"/>
          <w:tab w:val="left" w:pos="0"/>
        </w:tabs>
        <w:autoSpaceDE w:val="0"/>
        <w:autoSpaceDN w:val="0"/>
        <w:adjustRightInd w:val="0"/>
        <w:spacing w:after="0" w:line="240" w:lineRule="auto"/>
        <w:ind w:left="1980" w:hanging="270"/>
        <w:rPr>
          <w:rFonts w:ascii="Arial" w:hAnsi="Arial" w:cs="Arial"/>
          <w:sz w:val="20"/>
          <w:szCs w:val="20"/>
        </w:rPr>
      </w:pPr>
      <w:r w:rsidRPr="008F661E">
        <w:rPr>
          <w:rFonts w:ascii="Arial" w:hAnsi="Arial" w:cs="Arial"/>
          <w:sz w:val="20"/>
          <w:szCs w:val="20"/>
        </w:rPr>
        <w:t>DAILY RATE - Payment will be made on basis of calendar days (0001 - 2400). For fractional days at the beginning and ending of time under hire, payment will be based on 50% of the Daily Rate for periods less than 8 hours.</w:t>
      </w:r>
    </w:p>
    <w:p w:rsidR="002E123B" w:rsidRPr="008F661E" w:rsidRDefault="002E123B" w:rsidP="002E123B">
      <w:pPr>
        <w:pStyle w:val="ListParagraph"/>
        <w:numPr>
          <w:ilvl w:val="0"/>
          <w:numId w:val="13"/>
        </w:numPr>
        <w:tabs>
          <w:tab w:val="left" w:pos="-810"/>
          <w:tab w:val="left" w:pos="0"/>
        </w:tabs>
        <w:autoSpaceDE w:val="0"/>
        <w:autoSpaceDN w:val="0"/>
        <w:adjustRightInd w:val="0"/>
        <w:spacing w:after="0" w:line="240" w:lineRule="auto"/>
        <w:ind w:left="1710" w:hanging="270"/>
        <w:rPr>
          <w:rFonts w:ascii="Arial" w:hAnsi="Arial" w:cs="Arial"/>
          <w:sz w:val="20"/>
          <w:szCs w:val="20"/>
        </w:rPr>
      </w:pPr>
      <w:r w:rsidRPr="008F661E">
        <w:rPr>
          <w:rFonts w:ascii="Arial" w:hAnsi="Arial" w:cs="Arial"/>
          <w:sz w:val="20"/>
          <w:szCs w:val="20"/>
        </w:rPr>
        <w:t>Transport for Heavy Equipment – Same Resource Order Number as Heavy Equipment above and same operator</w:t>
      </w:r>
    </w:p>
    <w:p w:rsidR="002E123B" w:rsidRPr="008F661E" w:rsidRDefault="002E123B" w:rsidP="002E123B">
      <w:pPr>
        <w:pStyle w:val="ListParagraph"/>
        <w:numPr>
          <w:ilvl w:val="1"/>
          <w:numId w:val="13"/>
        </w:numPr>
        <w:tabs>
          <w:tab w:val="left" w:pos="-810"/>
          <w:tab w:val="left" w:pos="0"/>
        </w:tabs>
        <w:autoSpaceDE w:val="0"/>
        <w:autoSpaceDN w:val="0"/>
        <w:adjustRightInd w:val="0"/>
        <w:spacing w:after="0" w:line="240" w:lineRule="auto"/>
        <w:ind w:left="1980" w:hanging="270"/>
        <w:rPr>
          <w:rFonts w:ascii="Arial" w:hAnsi="Arial" w:cs="Arial"/>
          <w:sz w:val="20"/>
          <w:szCs w:val="20"/>
        </w:rPr>
      </w:pPr>
      <w:r w:rsidRPr="008F661E">
        <w:rPr>
          <w:rFonts w:ascii="Arial" w:hAnsi="Arial" w:cs="Arial"/>
          <w:sz w:val="20"/>
          <w:szCs w:val="20"/>
        </w:rPr>
        <w:t>HEAVY EQUIPMENT THAT HAS ONE OPERATOR FOR THE TRANSPORT AND THE HEAVY EQUIPMENT WILL BE PAID AT 65% OF THE RATE FOR THE TRANSPORT - MINIMUM DAILY GUARANTEE.</w:t>
      </w:r>
    </w:p>
    <w:p w:rsidR="002E123B" w:rsidRPr="008F661E" w:rsidRDefault="002E123B" w:rsidP="002E123B">
      <w:pPr>
        <w:pStyle w:val="ListParagraph"/>
        <w:numPr>
          <w:ilvl w:val="1"/>
          <w:numId w:val="13"/>
        </w:numPr>
        <w:tabs>
          <w:tab w:val="left" w:pos="-810"/>
          <w:tab w:val="left" w:pos="0"/>
        </w:tabs>
        <w:autoSpaceDE w:val="0"/>
        <w:autoSpaceDN w:val="0"/>
        <w:adjustRightInd w:val="0"/>
        <w:spacing w:after="0" w:line="240" w:lineRule="auto"/>
        <w:ind w:left="1980" w:hanging="270"/>
        <w:rPr>
          <w:rFonts w:ascii="Arial" w:hAnsi="Arial" w:cs="Arial"/>
          <w:sz w:val="20"/>
          <w:szCs w:val="20"/>
        </w:rPr>
      </w:pPr>
      <w:r w:rsidRPr="008F661E">
        <w:rPr>
          <w:rFonts w:ascii="Arial" w:hAnsi="Arial" w:cs="Arial"/>
          <w:sz w:val="20"/>
          <w:szCs w:val="20"/>
        </w:rPr>
        <w:t xml:space="preserve">MINIMUM DAILY GUARANTEE – For any time under hire for at least 8 hours, the government will pay no less than 65% of the minimum daily guarantee, or the mileage rate, whichever is greater. If a resource is under hire for less than 8 hours </w:t>
      </w:r>
      <w:r w:rsidRPr="008F661E">
        <w:rPr>
          <w:rFonts w:ascii="Arial" w:hAnsi="Arial" w:cs="Arial"/>
          <w:sz w:val="20"/>
          <w:szCs w:val="20"/>
        </w:rPr>
        <w:lastRenderedPageBreak/>
        <w:t xml:space="preserve">during a calendar day, the amount earned for that day will not be less than 32.5% the minimum daily guarantee, or the mileage rate, whichever is greater.  </w:t>
      </w:r>
    </w:p>
    <w:p w:rsidR="002E123B" w:rsidRPr="008F661E" w:rsidRDefault="002E123B" w:rsidP="002E123B">
      <w:pPr>
        <w:pStyle w:val="ListParagraph"/>
        <w:numPr>
          <w:ilvl w:val="1"/>
          <w:numId w:val="13"/>
        </w:numPr>
        <w:tabs>
          <w:tab w:val="left" w:pos="-810"/>
          <w:tab w:val="left" w:pos="0"/>
        </w:tabs>
        <w:autoSpaceDE w:val="0"/>
        <w:autoSpaceDN w:val="0"/>
        <w:adjustRightInd w:val="0"/>
        <w:spacing w:after="0" w:line="240" w:lineRule="auto"/>
        <w:ind w:left="1980" w:hanging="270"/>
        <w:rPr>
          <w:rFonts w:ascii="Arial" w:hAnsi="Arial" w:cs="Arial"/>
          <w:sz w:val="20"/>
          <w:szCs w:val="20"/>
        </w:rPr>
      </w:pPr>
      <w:r w:rsidRPr="008F661E">
        <w:rPr>
          <w:rFonts w:ascii="Arial" w:hAnsi="Arial" w:cs="Arial"/>
          <w:sz w:val="20"/>
          <w:szCs w:val="20"/>
        </w:rPr>
        <w:t>Once the heavy equipment is delivered to the incident the transport is considered released and no further payment will be made for the transport under this agreement; until the transport is needed for demobilization of the heavy equipment</w:t>
      </w:r>
      <w:r w:rsidRPr="008F661E">
        <w:rPr>
          <w:rFonts w:ascii="Arial" w:hAnsi="Arial" w:cs="Arial"/>
          <w:color w:val="0070C0"/>
          <w:sz w:val="20"/>
          <w:szCs w:val="20"/>
        </w:rPr>
        <w:t>.</w:t>
      </w:r>
    </w:p>
    <w:p w:rsidR="002E123B" w:rsidRPr="008F661E" w:rsidRDefault="002E123B" w:rsidP="002E123B">
      <w:pPr>
        <w:pStyle w:val="ListParagraph"/>
        <w:numPr>
          <w:ilvl w:val="1"/>
          <w:numId w:val="13"/>
        </w:numPr>
        <w:tabs>
          <w:tab w:val="left" w:pos="-810"/>
          <w:tab w:val="left" w:pos="0"/>
        </w:tabs>
        <w:autoSpaceDE w:val="0"/>
        <w:autoSpaceDN w:val="0"/>
        <w:adjustRightInd w:val="0"/>
        <w:spacing w:after="0" w:line="240" w:lineRule="auto"/>
        <w:ind w:left="1980" w:hanging="270"/>
        <w:rPr>
          <w:rFonts w:ascii="Arial" w:hAnsi="Arial" w:cs="Arial"/>
          <w:sz w:val="20"/>
          <w:szCs w:val="20"/>
        </w:rPr>
      </w:pPr>
      <w:r w:rsidRPr="008F661E">
        <w:rPr>
          <w:rFonts w:ascii="Arial" w:hAnsi="Arial" w:cs="Arial"/>
          <w:sz w:val="20"/>
          <w:szCs w:val="20"/>
        </w:rPr>
        <w:t>If the transport is retained at the incident for the sole purpose of transporting the heavy equipment that was originally ordered; the mileage rate or 65% of the minimum daily guarantee will be paid until the transport is released. This must be documented on the shift ticket.</w:t>
      </w:r>
    </w:p>
    <w:p w:rsidR="002E123B" w:rsidRPr="008F661E" w:rsidRDefault="002E123B" w:rsidP="002E123B">
      <w:pPr>
        <w:pStyle w:val="ListParagraph"/>
        <w:numPr>
          <w:ilvl w:val="1"/>
          <w:numId w:val="13"/>
        </w:numPr>
        <w:tabs>
          <w:tab w:val="left" w:pos="-810"/>
          <w:tab w:val="left" w:pos="0"/>
        </w:tabs>
        <w:autoSpaceDE w:val="0"/>
        <w:autoSpaceDN w:val="0"/>
        <w:adjustRightInd w:val="0"/>
        <w:spacing w:after="0" w:line="240" w:lineRule="auto"/>
        <w:ind w:left="1980" w:hanging="270"/>
        <w:rPr>
          <w:rFonts w:ascii="Arial" w:hAnsi="Arial" w:cs="Arial"/>
          <w:sz w:val="20"/>
          <w:szCs w:val="20"/>
        </w:rPr>
      </w:pPr>
      <w:r w:rsidRPr="008F661E">
        <w:rPr>
          <w:rFonts w:ascii="Arial" w:hAnsi="Arial" w:cs="Arial"/>
          <w:sz w:val="20"/>
          <w:szCs w:val="20"/>
        </w:rPr>
        <w:t>If approved by the Government, the contractor may keep the transport at the incident after it has been released, but no payment will be made except when the heavy equipment is released from the incident for return to the point of hire, or reassigned to another incident.</w:t>
      </w:r>
    </w:p>
    <w:p w:rsidR="002E123B" w:rsidRPr="008F661E" w:rsidRDefault="002E123B" w:rsidP="002E123B">
      <w:pPr>
        <w:pStyle w:val="ListParagraph"/>
        <w:numPr>
          <w:ilvl w:val="1"/>
          <w:numId w:val="13"/>
        </w:numPr>
        <w:tabs>
          <w:tab w:val="left" w:pos="-810"/>
          <w:tab w:val="left" w:pos="0"/>
        </w:tabs>
        <w:autoSpaceDE w:val="0"/>
        <w:autoSpaceDN w:val="0"/>
        <w:adjustRightInd w:val="0"/>
        <w:spacing w:after="0" w:line="240" w:lineRule="auto"/>
        <w:ind w:left="1980" w:hanging="270"/>
        <w:rPr>
          <w:rFonts w:ascii="Arial" w:hAnsi="Arial" w:cs="Arial"/>
          <w:sz w:val="20"/>
          <w:szCs w:val="20"/>
        </w:rPr>
      </w:pPr>
      <w:r w:rsidRPr="008F661E">
        <w:rPr>
          <w:rFonts w:ascii="Arial" w:hAnsi="Arial" w:cs="Arial"/>
          <w:sz w:val="20"/>
          <w:szCs w:val="20"/>
        </w:rPr>
        <w:t>MILEAGE - Payment shall be made for the mileage rate or 65% of the minimum daily guarantee, whichever is greater.</w:t>
      </w:r>
    </w:p>
    <w:p w:rsidR="002E123B" w:rsidRPr="008F661E" w:rsidRDefault="002E123B" w:rsidP="002E123B">
      <w:pPr>
        <w:pStyle w:val="ListParagraph"/>
        <w:numPr>
          <w:ilvl w:val="0"/>
          <w:numId w:val="13"/>
        </w:numPr>
        <w:tabs>
          <w:tab w:val="left" w:pos="-810"/>
          <w:tab w:val="left" w:pos="0"/>
        </w:tabs>
        <w:autoSpaceDE w:val="0"/>
        <w:autoSpaceDN w:val="0"/>
        <w:adjustRightInd w:val="0"/>
        <w:spacing w:after="0" w:line="240" w:lineRule="auto"/>
        <w:ind w:left="1710" w:hanging="270"/>
        <w:rPr>
          <w:rFonts w:ascii="Arial" w:hAnsi="Arial" w:cs="Arial"/>
          <w:sz w:val="20"/>
          <w:szCs w:val="20"/>
        </w:rPr>
      </w:pPr>
      <w:r w:rsidRPr="008F661E">
        <w:rPr>
          <w:rFonts w:ascii="Arial" w:hAnsi="Arial" w:cs="Arial"/>
          <w:sz w:val="20"/>
          <w:szCs w:val="20"/>
        </w:rPr>
        <w:t>Transport for Heavy Equipment – Same Resource Order Number as Heavy Equipment above and separate transport operator; include the name of the transport operator in the Remarks block (block 14) of the shift ticket.</w:t>
      </w:r>
    </w:p>
    <w:p w:rsidR="002E123B" w:rsidRPr="008F661E" w:rsidRDefault="002E123B" w:rsidP="002E123B">
      <w:pPr>
        <w:pStyle w:val="ListParagraph"/>
        <w:numPr>
          <w:ilvl w:val="1"/>
          <w:numId w:val="13"/>
        </w:numPr>
        <w:tabs>
          <w:tab w:val="left" w:pos="-810"/>
          <w:tab w:val="left" w:pos="0"/>
        </w:tabs>
        <w:autoSpaceDE w:val="0"/>
        <w:autoSpaceDN w:val="0"/>
        <w:adjustRightInd w:val="0"/>
        <w:spacing w:after="0" w:line="240" w:lineRule="auto"/>
        <w:ind w:left="1980" w:hanging="270"/>
        <w:rPr>
          <w:rFonts w:ascii="Arial" w:hAnsi="Arial" w:cs="Arial"/>
          <w:sz w:val="20"/>
          <w:szCs w:val="20"/>
        </w:rPr>
      </w:pPr>
      <w:r w:rsidRPr="008F661E">
        <w:rPr>
          <w:rFonts w:ascii="Arial" w:hAnsi="Arial" w:cs="Arial"/>
          <w:sz w:val="20"/>
          <w:szCs w:val="20"/>
        </w:rPr>
        <w:t>MINIMUM DAILY GUARANTEE - For any time under hire for at least 8 hours, the government will pay no less than the minimum daily guarantee, or the mileage rate, whichever is greater. If a resource is under hire for less than 8 hours during a calendar day, the amount earned for that day will not be less than one-half the minimum daily guarantee, or the mileage rate, whichever is greater.</w:t>
      </w:r>
    </w:p>
    <w:p w:rsidR="002E123B" w:rsidRPr="008F661E" w:rsidRDefault="002E123B" w:rsidP="002E123B">
      <w:pPr>
        <w:pStyle w:val="ListParagraph"/>
        <w:numPr>
          <w:ilvl w:val="1"/>
          <w:numId w:val="13"/>
        </w:numPr>
        <w:tabs>
          <w:tab w:val="left" w:pos="-810"/>
          <w:tab w:val="left" w:pos="0"/>
        </w:tabs>
        <w:autoSpaceDE w:val="0"/>
        <w:autoSpaceDN w:val="0"/>
        <w:adjustRightInd w:val="0"/>
        <w:spacing w:after="0" w:line="240" w:lineRule="auto"/>
        <w:ind w:left="1980" w:hanging="270"/>
        <w:rPr>
          <w:rFonts w:ascii="Arial" w:hAnsi="Arial" w:cs="Arial"/>
          <w:sz w:val="20"/>
          <w:szCs w:val="20"/>
        </w:rPr>
      </w:pPr>
      <w:r w:rsidRPr="008F661E">
        <w:rPr>
          <w:rFonts w:ascii="Arial" w:hAnsi="Arial" w:cs="Arial"/>
          <w:sz w:val="20"/>
          <w:szCs w:val="20"/>
        </w:rPr>
        <w:t>Once the heavy equipment is delivered to the incident the transport is considered released and no further payment will be made for the transport under this agreement; until the transport is needed for demobilization of the heavy equipment</w:t>
      </w:r>
      <w:r w:rsidRPr="008F661E">
        <w:rPr>
          <w:rFonts w:ascii="Arial" w:hAnsi="Arial" w:cs="Arial"/>
          <w:color w:val="0070C0"/>
          <w:sz w:val="20"/>
          <w:szCs w:val="20"/>
        </w:rPr>
        <w:t xml:space="preserve">. </w:t>
      </w:r>
    </w:p>
    <w:p w:rsidR="002E123B" w:rsidRPr="008F661E" w:rsidRDefault="002E123B" w:rsidP="002E123B">
      <w:pPr>
        <w:pStyle w:val="ListParagraph"/>
        <w:numPr>
          <w:ilvl w:val="1"/>
          <w:numId w:val="13"/>
        </w:numPr>
        <w:tabs>
          <w:tab w:val="left" w:pos="-810"/>
          <w:tab w:val="left" w:pos="0"/>
        </w:tabs>
        <w:autoSpaceDE w:val="0"/>
        <w:autoSpaceDN w:val="0"/>
        <w:adjustRightInd w:val="0"/>
        <w:spacing w:after="0" w:line="240" w:lineRule="auto"/>
        <w:ind w:left="1980" w:hanging="270"/>
        <w:rPr>
          <w:rFonts w:ascii="Arial" w:hAnsi="Arial" w:cs="Arial"/>
          <w:sz w:val="20"/>
          <w:szCs w:val="20"/>
        </w:rPr>
      </w:pPr>
      <w:r w:rsidRPr="008F661E">
        <w:rPr>
          <w:rFonts w:ascii="Arial" w:hAnsi="Arial" w:cs="Arial"/>
          <w:sz w:val="20"/>
          <w:szCs w:val="20"/>
        </w:rPr>
        <w:t>If the transport is retained at the incident for the sole purpose of transporting the heavy equipment that was originally ordered; the mileage rate or the minimum daily guarantee, whichever is greater, will be paid until the transport is released. This must be documented on the shift ticket.</w:t>
      </w:r>
    </w:p>
    <w:p w:rsidR="002E123B" w:rsidRPr="008F661E" w:rsidRDefault="002E123B" w:rsidP="002E123B">
      <w:pPr>
        <w:pStyle w:val="ListParagraph"/>
        <w:numPr>
          <w:ilvl w:val="1"/>
          <w:numId w:val="13"/>
        </w:numPr>
        <w:tabs>
          <w:tab w:val="left" w:pos="-810"/>
          <w:tab w:val="left" w:pos="0"/>
        </w:tabs>
        <w:autoSpaceDE w:val="0"/>
        <w:autoSpaceDN w:val="0"/>
        <w:adjustRightInd w:val="0"/>
        <w:spacing w:after="0" w:line="240" w:lineRule="auto"/>
        <w:ind w:left="1980" w:hanging="270"/>
        <w:rPr>
          <w:rFonts w:ascii="Arial" w:hAnsi="Arial" w:cs="Arial"/>
          <w:sz w:val="20"/>
          <w:szCs w:val="20"/>
        </w:rPr>
      </w:pPr>
      <w:r w:rsidRPr="008F661E">
        <w:rPr>
          <w:rFonts w:ascii="Arial" w:hAnsi="Arial" w:cs="Arial"/>
          <w:sz w:val="20"/>
          <w:szCs w:val="20"/>
        </w:rPr>
        <w:t>If approved by the Government, the contractor may keep the transport at the incident after it has been released, but no payment will be made except when the heavy equipment is released from the incident for return to the point of hire, or reassigned to another incident.</w:t>
      </w:r>
    </w:p>
    <w:p w:rsidR="002E123B" w:rsidRPr="008F661E" w:rsidRDefault="002E123B" w:rsidP="002E123B">
      <w:pPr>
        <w:pStyle w:val="ListParagraph"/>
        <w:numPr>
          <w:ilvl w:val="1"/>
          <w:numId w:val="13"/>
        </w:numPr>
        <w:tabs>
          <w:tab w:val="left" w:pos="-810"/>
          <w:tab w:val="left" w:pos="0"/>
        </w:tabs>
        <w:autoSpaceDE w:val="0"/>
        <w:autoSpaceDN w:val="0"/>
        <w:adjustRightInd w:val="0"/>
        <w:spacing w:after="0" w:line="240" w:lineRule="auto"/>
        <w:ind w:left="1980" w:hanging="270"/>
        <w:rPr>
          <w:rFonts w:ascii="Arial" w:hAnsi="Arial" w:cs="Arial"/>
          <w:sz w:val="20"/>
          <w:szCs w:val="20"/>
        </w:rPr>
      </w:pPr>
      <w:r w:rsidRPr="008F661E">
        <w:rPr>
          <w:rFonts w:ascii="Arial" w:hAnsi="Arial" w:cs="Arial"/>
          <w:sz w:val="20"/>
          <w:szCs w:val="20"/>
        </w:rPr>
        <w:t xml:space="preserve">IF THE TRANSPORT IS RETAINED BY THE INCIDENT FOR TRANSPORTING OTHER EQUIPMENT, THE COMPANY OWNING THE TRANSPORT MUST HAVE AN EXISTING AGREEMENT ISSUED UNDER THIS SOLICITATION, AND MUST BE ORDERED WITH A SEPARATE RESOURCE ORDER NUMBER. THE POINT OF HIRE WILL BE THE INCIDENT. AT NO TIME WILL THE TRANSPORT BE PAID MORE THAN ONCE FOR A SINGLE DAY.  </w:t>
      </w:r>
    </w:p>
    <w:p w:rsidR="002E123B" w:rsidRPr="008F661E" w:rsidRDefault="002E123B" w:rsidP="002E123B">
      <w:pPr>
        <w:pStyle w:val="ListParagraph"/>
        <w:numPr>
          <w:ilvl w:val="1"/>
          <w:numId w:val="13"/>
        </w:numPr>
        <w:tabs>
          <w:tab w:val="left" w:pos="-810"/>
          <w:tab w:val="left" w:pos="0"/>
        </w:tabs>
        <w:autoSpaceDE w:val="0"/>
        <w:autoSpaceDN w:val="0"/>
        <w:adjustRightInd w:val="0"/>
        <w:spacing w:after="0" w:line="240" w:lineRule="auto"/>
        <w:ind w:left="1980" w:hanging="270"/>
        <w:rPr>
          <w:rFonts w:ascii="Arial" w:hAnsi="Arial" w:cs="Arial"/>
          <w:sz w:val="20"/>
          <w:szCs w:val="20"/>
        </w:rPr>
      </w:pPr>
      <w:r w:rsidRPr="008F661E">
        <w:rPr>
          <w:rFonts w:ascii="Arial" w:hAnsi="Arial" w:cs="Arial"/>
          <w:sz w:val="20"/>
          <w:szCs w:val="20"/>
        </w:rPr>
        <w:t>If the transport (associated with a piece of heavy equipment) is released prior to the heavy equipment and the contractor elects to return the transport to their home base, time under hire would end at the estimated time of arrival back to the point of hire, except as provided in 21.8.3.  At the conclusion of the assignment, when the heavy equipment is released, time under hire would begin when the transport begins travel back to the incident.</w:t>
      </w:r>
    </w:p>
    <w:p w:rsidR="002E123B" w:rsidRPr="008F661E" w:rsidRDefault="002E123B" w:rsidP="002E123B">
      <w:pPr>
        <w:pStyle w:val="ListParagraph"/>
        <w:numPr>
          <w:ilvl w:val="1"/>
          <w:numId w:val="13"/>
        </w:numPr>
        <w:tabs>
          <w:tab w:val="left" w:pos="-810"/>
          <w:tab w:val="left" w:pos="0"/>
        </w:tabs>
        <w:autoSpaceDE w:val="0"/>
        <w:autoSpaceDN w:val="0"/>
        <w:adjustRightInd w:val="0"/>
        <w:spacing w:after="0" w:line="240" w:lineRule="auto"/>
        <w:ind w:left="1980" w:hanging="270"/>
        <w:rPr>
          <w:rFonts w:ascii="Arial" w:hAnsi="Arial" w:cs="Arial"/>
          <w:sz w:val="20"/>
          <w:szCs w:val="20"/>
        </w:rPr>
      </w:pPr>
      <w:r w:rsidRPr="008F661E">
        <w:rPr>
          <w:rFonts w:ascii="Arial" w:hAnsi="Arial" w:cs="Arial"/>
          <w:sz w:val="20"/>
          <w:szCs w:val="20"/>
        </w:rPr>
        <w:t>MILEAGE - Payment shall be made for the mileage rate or minimum daily guarantee, whichever is greater.</w:t>
      </w:r>
    </w:p>
    <w:p w:rsidR="002E123B" w:rsidRPr="008F661E" w:rsidRDefault="002E123B" w:rsidP="002E123B">
      <w:pPr>
        <w:pStyle w:val="ListParagraph"/>
        <w:numPr>
          <w:ilvl w:val="0"/>
          <w:numId w:val="13"/>
        </w:numPr>
        <w:tabs>
          <w:tab w:val="left" w:pos="-810"/>
          <w:tab w:val="left" w:pos="0"/>
        </w:tabs>
        <w:autoSpaceDE w:val="0"/>
        <w:autoSpaceDN w:val="0"/>
        <w:adjustRightInd w:val="0"/>
        <w:spacing w:after="0" w:line="240" w:lineRule="auto"/>
        <w:ind w:left="1710" w:hanging="270"/>
        <w:rPr>
          <w:rFonts w:ascii="Arial" w:hAnsi="Arial" w:cs="Arial"/>
          <w:sz w:val="20"/>
          <w:szCs w:val="20"/>
        </w:rPr>
      </w:pPr>
      <w:r w:rsidRPr="008F661E">
        <w:rPr>
          <w:rFonts w:ascii="Arial" w:hAnsi="Arial" w:cs="Arial"/>
          <w:sz w:val="20"/>
          <w:szCs w:val="20"/>
        </w:rPr>
        <w:t>Transports (Stand Alone) – ordered under a separate resource order number by Government to remain at the incident and transport other vendor’s equipment (see D.2.1.2.4).</w:t>
      </w:r>
    </w:p>
    <w:p w:rsidR="002E123B" w:rsidRPr="008F661E" w:rsidRDefault="002E123B" w:rsidP="002E123B">
      <w:pPr>
        <w:pStyle w:val="ListParagraph"/>
        <w:numPr>
          <w:ilvl w:val="0"/>
          <w:numId w:val="14"/>
        </w:numPr>
        <w:tabs>
          <w:tab w:val="left" w:pos="630"/>
        </w:tabs>
        <w:autoSpaceDE w:val="0"/>
        <w:autoSpaceDN w:val="0"/>
        <w:adjustRightInd w:val="0"/>
        <w:spacing w:after="0" w:line="240" w:lineRule="auto"/>
        <w:ind w:left="1980" w:hanging="270"/>
        <w:rPr>
          <w:rFonts w:ascii="Arial" w:hAnsi="Arial" w:cs="Arial"/>
          <w:sz w:val="20"/>
          <w:szCs w:val="20"/>
        </w:rPr>
      </w:pPr>
      <w:r w:rsidRPr="008F661E">
        <w:rPr>
          <w:rFonts w:ascii="Arial" w:hAnsi="Arial" w:cs="Arial"/>
          <w:sz w:val="20"/>
          <w:szCs w:val="20"/>
        </w:rPr>
        <w:t>On-Shift includes time worked, time that resource is held or directed to be in a state of readiness, and compensable travel (resource traveling under its own power) that has a specific start and ending time.</w:t>
      </w:r>
    </w:p>
    <w:p w:rsidR="002E123B" w:rsidRPr="008F661E" w:rsidRDefault="002E123B" w:rsidP="002E123B">
      <w:pPr>
        <w:pStyle w:val="ListParagraph"/>
        <w:numPr>
          <w:ilvl w:val="0"/>
          <w:numId w:val="14"/>
        </w:numPr>
        <w:tabs>
          <w:tab w:val="left" w:pos="-810"/>
          <w:tab w:val="left" w:pos="0"/>
        </w:tabs>
        <w:autoSpaceDE w:val="0"/>
        <w:autoSpaceDN w:val="0"/>
        <w:adjustRightInd w:val="0"/>
        <w:spacing w:after="0" w:line="240" w:lineRule="auto"/>
        <w:ind w:left="1980" w:hanging="270"/>
        <w:rPr>
          <w:rFonts w:ascii="Arial" w:hAnsi="Arial" w:cs="Arial"/>
          <w:sz w:val="20"/>
          <w:szCs w:val="20"/>
        </w:rPr>
      </w:pPr>
      <w:r w:rsidRPr="008F661E">
        <w:rPr>
          <w:rFonts w:ascii="Arial" w:hAnsi="Arial" w:cs="Arial"/>
          <w:sz w:val="20"/>
          <w:szCs w:val="20"/>
        </w:rPr>
        <w:t xml:space="preserve">MINIMUM DAILY GUARANTEE - For any time under hire for at least 8 hours, the government will pay no less than the minimum daily guarantee, or the mileage rate, </w:t>
      </w:r>
      <w:r w:rsidRPr="008F661E">
        <w:rPr>
          <w:rFonts w:ascii="Arial" w:hAnsi="Arial" w:cs="Arial"/>
          <w:sz w:val="20"/>
          <w:szCs w:val="20"/>
        </w:rPr>
        <w:lastRenderedPageBreak/>
        <w:t>whichever is greater. If a resource is under hire for less than 8 hours during a calendar day, the amount earned for that day will not be less than one-half the minimum daily guarantee, or the mileage rate, whichever is greater.</w:t>
      </w:r>
    </w:p>
    <w:p w:rsidR="00FF562D" w:rsidRPr="002E123B" w:rsidRDefault="002E123B" w:rsidP="002E123B">
      <w:pPr>
        <w:pStyle w:val="ListParagraph"/>
        <w:numPr>
          <w:ilvl w:val="0"/>
          <w:numId w:val="14"/>
        </w:numPr>
        <w:tabs>
          <w:tab w:val="left" w:pos="-810"/>
          <w:tab w:val="left" w:pos="0"/>
        </w:tabs>
        <w:autoSpaceDE w:val="0"/>
        <w:autoSpaceDN w:val="0"/>
        <w:adjustRightInd w:val="0"/>
        <w:spacing w:after="0" w:line="240" w:lineRule="auto"/>
        <w:ind w:left="1980" w:hanging="270"/>
        <w:rPr>
          <w:rFonts w:ascii="Arial" w:hAnsi="Arial" w:cs="Arial"/>
          <w:sz w:val="20"/>
          <w:szCs w:val="20"/>
        </w:rPr>
      </w:pPr>
      <w:r w:rsidRPr="008F661E">
        <w:rPr>
          <w:rFonts w:ascii="Arial" w:hAnsi="Arial" w:cs="Arial"/>
          <w:sz w:val="20"/>
          <w:szCs w:val="20"/>
        </w:rPr>
        <w:t>MILEAGE - Payment shall be made for the mileage rate or minimum daily guarantee, whichever is greater.</w:t>
      </w:r>
    </w:p>
    <w:p w:rsidR="00FF562D" w:rsidRPr="004E5F2F" w:rsidRDefault="00FF562D" w:rsidP="004E5F2F">
      <w:pPr>
        <w:pStyle w:val="NormalWeb"/>
        <w:pBdr>
          <w:top w:val="single" w:sz="4" w:space="1" w:color="auto"/>
        </w:pBdr>
        <w:rPr>
          <w:rFonts w:ascii="Arial" w:hAnsi="Arial" w:cs="Arial"/>
        </w:rPr>
      </w:pPr>
      <w:r w:rsidRPr="004E5F2F">
        <w:rPr>
          <w:rFonts w:ascii="Arial" w:hAnsi="Arial" w:cs="Arial"/>
        </w:rPr>
        <w:t>THE FOLLOWING CHANGES ARE APPLICABLE TO -- Tents:</w:t>
      </w:r>
    </w:p>
    <w:p w:rsidR="005B10C6" w:rsidRDefault="00FF562D" w:rsidP="002E123B">
      <w:pPr>
        <w:pStyle w:val="NormalWeb"/>
        <w:numPr>
          <w:ilvl w:val="0"/>
          <w:numId w:val="15"/>
        </w:numPr>
        <w:rPr>
          <w:rFonts w:ascii="Arial" w:hAnsi="Arial" w:cs="Arial"/>
        </w:rPr>
      </w:pPr>
      <w:r w:rsidRPr="00060777">
        <w:rPr>
          <w:rFonts w:ascii="Arial" w:hAnsi="Arial" w:cs="Arial"/>
          <w:b/>
          <w:u w:val="single"/>
        </w:rPr>
        <w:t>D02 – Equipment Requirements.</w:t>
      </w:r>
      <w:r w:rsidR="005B10C6">
        <w:rPr>
          <w:rFonts w:ascii="Arial" w:hAnsi="Arial" w:cs="Arial"/>
        </w:rPr>
        <w:t xml:space="preserve">  D.2.1.1, Paragraph 10 has been rewritten as follows:</w:t>
      </w:r>
    </w:p>
    <w:p w:rsidR="00FF562D" w:rsidRPr="004E5F2F" w:rsidRDefault="005B10C6" w:rsidP="00431389">
      <w:pPr>
        <w:pStyle w:val="ListParagraph"/>
        <w:autoSpaceDE w:val="0"/>
        <w:autoSpaceDN w:val="0"/>
        <w:adjustRightInd w:val="0"/>
        <w:spacing w:after="0" w:line="240" w:lineRule="auto"/>
        <w:ind w:left="1440" w:right="720"/>
        <w:rPr>
          <w:rFonts w:ascii="Arial" w:hAnsi="Arial" w:cs="Arial"/>
          <w:sz w:val="24"/>
          <w:szCs w:val="24"/>
        </w:rPr>
      </w:pPr>
      <w:r w:rsidRPr="005B10C6">
        <w:rPr>
          <w:color w:val="FF0000"/>
          <w:sz w:val="20"/>
          <w:szCs w:val="20"/>
          <w:highlight w:val="yellow"/>
        </w:rPr>
        <w:t xml:space="preserve">All extension cords must meet the testing and requirements of the Underwriters Laboratories (UL) and the Occupational Safety and Health Administration (OSHA).  All cords must be three pronged, stamped “for exterior use” and have the letters SJTW stamped in the cord covering (S=Service Grade, also means extra hard service when not followed by J, V, or P; J=Hard Service; T=Thermoplastic; W=Outdoor- includes sunlight resistant jacket and wet location rated conductors (formerly "W-A")).  The maximum length of each individual cord is 100 feet and the minimum wire size is 14 </w:t>
      </w:r>
      <w:proofErr w:type="gramStart"/>
      <w:r w:rsidRPr="005B10C6">
        <w:rPr>
          <w:color w:val="FF0000"/>
          <w:sz w:val="20"/>
          <w:szCs w:val="20"/>
          <w:highlight w:val="yellow"/>
        </w:rPr>
        <w:t>gauge</w:t>
      </w:r>
      <w:proofErr w:type="gramEnd"/>
      <w:r w:rsidRPr="005B10C6">
        <w:rPr>
          <w:color w:val="FF0000"/>
          <w:sz w:val="20"/>
          <w:szCs w:val="20"/>
          <w:highlight w:val="yellow"/>
        </w:rPr>
        <w:t xml:space="preserve">.  A minimum of (4) four, exterior approved power outlets connected to a generator or local utility company to supply electricity for lighting, cooling and to small appliances such as laptop computers, chargers to phones or PDA’s and printers.  All electrical outlets must be protected with a Ground Fault Circuit Interrupter (GFCI) at the power source.  </w:t>
      </w:r>
      <w:r w:rsidRPr="005B10C6">
        <w:rPr>
          <w:strike/>
          <w:sz w:val="20"/>
          <w:szCs w:val="20"/>
          <w:highlight w:val="yellow"/>
        </w:rPr>
        <w:t>100 ft. of electrical cord with a minimum of four (4) power outlets to connect to generator or local power of sufficient gauge to power lighting, cooling and small electrical appliances such as laptop computers, chargers for phones or PDAs and printers.</w:t>
      </w:r>
      <w:r w:rsidR="009964F8">
        <w:rPr>
          <w:rFonts w:ascii="Arial" w:hAnsi="Arial" w:cs="Arial"/>
        </w:rPr>
        <w:br/>
      </w:r>
    </w:p>
    <w:p w:rsidR="009964F8" w:rsidRPr="009964F8" w:rsidRDefault="00FF562D" w:rsidP="002E123B">
      <w:pPr>
        <w:pStyle w:val="NormalWeb"/>
        <w:numPr>
          <w:ilvl w:val="0"/>
          <w:numId w:val="15"/>
        </w:numPr>
        <w:rPr>
          <w:rFonts w:ascii="Arial" w:hAnsi="Arial" w:cs="Arial"/>
        </w:rPr>
      </w:pPr>
      <w:r w:rsidRPr="002E123B">
        <w:rPr>
          <w:rFonts w:ascii="Arial" w:hAnsi="Arial" w:cs="Arial"/>
          <w:b/>
          <w:u w:val="single"/>
        </w:rPr>
        <w:t>D6 – Ordering.</w:t>
      </w:r>
      <w:r w:rsidR="004E5F2F">
        <w:rPr>
          <w:rFonts w:ascii="Arial" w:hAnsi="Arial" w:cs="Arial"/>
        </w:rPr>
        <w:t xml:space="preserve">  </w:t>
      </w:r>
      <w:bookmarkStart w:id="1" w:name="OLE_LINK1"/>
      <w:r w:rsidR="009964F8">
        <w:rPr>
          <w:rFonts w:ascii="Arial" w:hAnsi="Arial" w:cs="Arial"/>
        </w:rPr>
        <w:t xml:space="preserve">The CBA calculations were corrected to add an extra set of parenthesis around the daily rate and weekly rate as follows:  </w:t>
      </w:r>
      <w:r w:rsidR="009964F8" w:rsidRPr="009964F8">
        <w:rPr>
          <w:rFonts w:ascii="Arial" w:hAnsi="Arial" w:cs="Arial"/>
        </w:rPr>
        <w:t>((</w:t>
      </w:r>
      <w:r w:rsidR="009964F8" w:rsidRPr="009964F8">
        <w:rPr>
          <w:rFonts w:ascii="Arial" w:hAnsi="Arial" w:cs="Arial"/>
          <w:color w:val="FF0000"/>
          <w:highlight w:val="yellow"/>
        </w:rPr>
        <w:t>(</w:t>
      </w:r>
      <w:r w:rsidR="009964F8" w:rsidRPr="009964F8">
        <w:rPr>
          <w:rFonts w:ascii="Arial" w:hAnsi="Arial" w:cs="Arial"/>
        </w:rPr>
        <w:t>Daily Rate + Weekly Rate</w:t>
      </w:r>
      <w:r w:rsidR="009964F8" w:rsidRPr="009964F8">
        <w:rPr>
          <w:rFonts w:ascii="Arial" w:hAnsi="Arial" w:cs="Arial"/>
          <w:color w:val="FF0000"/>
          <w:highlight w:val="yellow"/>
        </w:rPr>
        <w:t>)</w:t>
      </w:r>
      <w:r w:rsidR="009964F8" w:rsidRPr="009964F8">
        <w:rPr>
          <w:rFonts w:ascii="Arial" w:hAnsi="Arial" w:cs="Arial"/>
        </w:rPr>
        <w:t>/8) x 0.7) + ((Monthly Rate/30) x 0.3)</w:t>
      </w:r>
      <w:r w:rsidR="009964F8">
        <w:rPr>
          <w:rFonts w:ascii="Arial" w:hAnsi="Arial" w:cs="Arial"/>
        </w:rPr>
        <w:br/>
      </w:r>
      <w:bookmarkEnd w:id="1"/>
    </w:p>
    <w:p w:rsidR="002E123B" w:rsidRDefault="00FF562D" w:rsidP="002E123B">
      <w:pPr>
        <w:pStyle w:val="NormalWeb"/>
        <w:numPr>
          <w:ilvl w:val="0"/>
          <w:numId w:val="15"/>
        </w:numPr>
        <w:rPr>
          <w:rFonts w:ascii="Arial" w:hAnsi="Arial" w:cs="Arial"/>
        </w:rPr>
      </w:pPr>
      <w:r w:rsidRPr="002E123B">
        <w:rPr>
          <w:rFonts w:ascii="Arial" w:hAnsi="Arial" w:cs="Arial"/>
          <w:b/>
          <w:u w:val="single"/>
        </w:rPr>
        <w:t>D21 – Payments.</w:t>
      </w:r>
      <w:r w:rsidR="008F661E">
        <w:rPr>
          <w:rFonts w:ascii="Arial" w:hAnsi="Arial" w:cs="Arial"/>
        </w:rPr>
        <w:t xml:space="preserve">  </w:t>
      </w:r>
      <w:r w:rsidR="002E123B">
        <w:rPr>
          <w:rFonts w:ascii="Arial" w:hAnsi="Arial" w:cs="Arial"/>
        </w:rPr>
        <w:t xml:space="preserve">See “D21 – Payments” below referencing language included for </w:t>
      </w:r>
      <w:r w:rsidR="002E123B" w:rsidRPr="004E5F2F">
        <w:rPr>
          <w:rFonts w:ascii="Arial" w:hAnsi="Arial" w:cs="Arial"/>
        </w:rPr>
        <w:t>D.21.8.1.2</w:t>
      </w:r>
      <w:r w:rsidR="002E123B">
        <w:rPr>
          <w:rFonts w:ascii="Arial" w:hAnsi="Arial" w:cs="Arial"/>
        </w:rPr>
        <w:t xml:space="preserve"> in its entirety.</w:t>
      </w:r>
    </w:p>
    <w:p w:rsidR="00FF562D" w:rsidRPr="004E5F2F" w:rsidRDefault="00FF562D" w:rsidP="002E123B">
      <w:pPr>
        <w:pStyle w:val="NormalWeb"/>
        <w:pBdr>
          <w:top w:val="single" w:sz="4" w:space="1" w:color="auto"/>
        </w:pBdr>
        <w:rPr>
          <w:rFonts w:ascii="Arial" w:hAnsi="Arial" w:cs="Arial"/>
        </w:rPr>
      </w:pPr>
      <w:r w:rsidRPr="004E5F2F">
        <w:rPr>
          <w:rFonts w:ascii="Arial" w:hAnsi="Arial" w:cs="Arial"/>
        </w:rPr>
        <w:t>THE FOLLOWING CHANGES ARE APPLICABLE TO -- Gray Potable Water:</w:t>
      </w:r>
    </w:p>
    <w:p w:rsidR="002E123B" w:rsidRDefault="00FF562D" w:rsidP="002E123B">
      <w:pPr>
        <w:pStyle w:val="NormalWeb"/>
        <w:numPr>
          <w:ilvl w:val="0"/>
          <w:numId w:val="5"/>
        </w:numPr>
        <w:rPr>
          <w:rFonts w:ascii="Arial" w:hAnsi="Arial" w:cs="Arial"/>
        </w:rPr>
      </w:pPr>
      <w:r w:rsidRPr="002E123B">
        <w:rPr>
          <w:rFonts w:ascii="Arial" w:hAnsi="Arial" w:cs="Arial"/>
          <w:b/>
          <w:u w:val="single"/>
        </w:rPr>
        <w:t>D6 – Ordering.</w:t>
      </w:r>
      <w:r w:rsidR="009964F8">
        <w:rPr>
          <w:rFonts w:ascii="Arial" w:hAnsi="Arial" w:cs="Arial"/>
        </w:rPr>
        <w:t xml:space="preserve">  The CBA calculations were corrected to add an extra set of parenthesis around the daily rate and weekly rate as follows:  </w:t>
      </w:r>
      <w:r w:rsidR="009964F8" w:rsidRPr="009964F8">
        <w:rPr>
          <w:rFonts w:ascii="Arial" w:hAnsi="Arial" w:cs="Arial"/>
        </w:rPr>
        <w:t>((</w:t>
      </w:r>
      <w:r w:rsidR="009964F8" w:rsidRPr="009964F8">
        <w:rPr>
          <w:rFonts w:ascii="Arial" w:hAnsi="Arial" w:cs="Arial"/>
          <w:color w:val="FF0000"/>
          <w:highlight w:val="yellow"/>
        </w:rPr>
        <w:t>(</w:t>
      </w:r>
      <w:r w:rsidR="009964F8" w:rsidRPr="009964F8">
        <w:rPr>
          <w:rFonts w:ascii="Arial" w:hAnsi="Arial" w:cs="Arial"/>
        </w:rPr>
        <w:t>Daily Rate + Weekly Rate</w:t>
      </w:r>
      <w:r w:rsidR="009964F8" w:rsidRPr="009964F8">
        <w:rPr>
          <w:rFonts w:ascii="Arial" w:hAnsi="Arial" w:cs="Arial"/>
          <w:color w:val="FF0000"/>
          <w:highlight w:val="yellow"/>
        </w:rPr>
        <w:t>)</w:t>
      </w:r>
      <w:r w:rsidR="009964F8" w:rsidRPr="009964F8">
        <w:rPr>
          <w:rFonts w:ascii="Arial" w:hAnsi="Arial" w:cs="Arial"/>
        </w:rPr>
        <w:t>/8) x 0.7) + ((Monthly Rate/30) x 0.3)</w:t>
      </w:r>
      <w:r w:rsidR="002E123B">
        <w:rPr>
          <w:rFonts w:ascii="Arial" w:hAnsi="Arial" w:cs="Arial"/>
        </w:rPr>
        <w:br/>
      </w:r>
    </w:p>
    <w:p w:rsidR="00FF562D" w:rsidRPr="002E123B" w:rsidRDefault="00FF562D" w:rsidP="002E123B">
      <w:pPr>
        <w:pStyle w:val="NormalWeb"/>
        <w:numPr>
          <w:ilvl w:val="0"/>
          <w:numId w:val="5"/>
        </w:numPr>
        <w:rPr>
          <w:rFonts w:ascii="Arial" w:hAnsi="Arial" w:cs="Arial"/>
        </w:rPr>
      </w:pPr>
      <w:r w:rsidRPr="002E123B">
        <w:rPr>
          <w:rFonts w:ascii="Arial" w:hAnsi="Arial" w:cs="Arial"/>
          <w:b/>
          <w:u w:val="single"/>
        </w:rPr>
        <w:t>D21 – Payments.</w:t>
      </w:r>
      <w:r w:rsidRPr="002E123B">
        <w:rPr>
          <w:rFonts w:ascii="Arial" w:hAnsi="Arial" w:cs="Arial"/>
        </w:rPr>
        <w:t xml:space="preserve"> </w:t>
      </w:r>
      <w:r w:rsidR="002E123B">
        <w:rPr>
          <w:rFonts w:ascii="Arial" w:hAnsi="Arial" w:cs="Arial"/>
        </w:rPr>
        <w:t xml:space="preserve"> </w:t>
      </w:r>
      <w:r w:rsidR="002E123B" w:rsidRPr="002E123B">
        <w:rPr>
          <w:rFonts w:ascii="Arial" w:hAnsi="Arial" w:cs="Arial"/>
        </w:rPr>
        <w:t>See “D21 – Payments” below referencing language included for D.21.8.1.2 in its entirety.</w:t>
      </w:r>
    </w:p>
    <w:p w:rsidR="00FF562D" w:rsidRPr="004E5F2F" w:rsidRDefault="00FF562D" w:rsidP="004E5F2F">
      <w:pPr>
        <w:pStyle w:val="NormalWeb"/>
        <w:pBdr>
          <w:top w:val="single" w:sz="4" w:space="1" w:color="auto"/>
        </w:pBdr>
        <w:rPr>
          <w:rFonts w:ascii="Arial" w:hAnsi="Arial" w:cs="Arial"/>
        </w:rPr>
      </w:pPr>
      <w:r w:rsidRPr="004E5F2F">
        <w:rPr>
          <w:rFonts w:ascii="Arial" w:hAnsi="Arial" w:cs="Arial"/>
        </w:rPr>
        <w:t xml:space="preserve">THE FOLLOWING CHANGES ARE APPLICABLE TO </w:t>
      </w:r>
      <w:r w:rsidR="00E50253" w:rsidRPr="004E5F2F">
        <w:rPr>
          <w:rFonts w:ascii="Arial" w:hAnsi="Arial" w:cs="Arial"/>
        </w:rPr>
        <w:t xml:space="preserve">-- </w:t>
      </w:r>
      <w:r w:rsidRPr="004E5F2F">
        <w:rPr>
          <w:rFonts w:ascii="Arial" w:hAnsi="Arial" w:cs="Arial"/>
        </w:rPr>
        <w:t xml:space="preserve">Generics, Mechanic Service Truck, ATVs, Aircraft Firefighting Apparatus, Chainsaw Repair, Chippers, Clerical Support, Coach Bus, Communications Trailer, Copiers, Crew Carrier Bus, Fallers, Fuel Tenders, GIS Units, Gray Water, Mobile Laundry, Mobile Sleeper Unit, Portable Toilets, </w:t>
      </w:r>
      <w:r w:rsidRPr="004E5F2F">
        <w:rPr>
          <w:rFonts w:ascii="Arial" w:hAnsi="Arial" w:cs="Arial"/>
        </w:rPr>
        <w:lastRenderedPageBreak/>
        <w:t>Refrigerated Trailer Unit, Rental Vehicles, Trailer Helicopter Operations Support, Vehicle with Driver, Water Handling, and Weed Washing.</w:t>
      </w:r>
    </w:p>
    <w:p w:rsidR="00FF562D" w:rsidRPr="004E5F2F" w:rsidRDefault="00FF562D" w:rsidP="00FF562D">
      <w:pPr>
        <w:pStyle w:val="NormalWeb"/>
        <w:numPr>
          <w:ilvl w:val="0"/>
          <w:numId w:val="7"/>
        </w:numPr>
        <w:rPr>
          <w:rFonts w:ascii="Arial" w:hAnsi="Arial" w:cs="Arial"/>
        </w:rPr>
      </w:pPr>
      <w:r w:rsidRPr="004E5F2F">
        <w:rPr>
          <w:rFonts w:ascii="Arial" w:hAnsi="Arial" w:cs="Arial"/>
        </w:rPr>
        <w:t xml:space="preserve"> </w:t>
      </w:r>
      <w:r w:rsidRPr="004E5F2F">
        <w:rPr>
          <w:rFonts w:ascii="Arial" w:hAnsi="Arial" w:cs="Arial"/>
          <w:b/>
          <w:u w:val="single"/>
        </w:rPr>
        <w:t>D21 – Payments.</w:t>
      </w:r>
      <w:r w:rsidR="00A22C87" w:rsidRPr="004E5F2F">
        <w:rPr>
          <w:rFonts w:ascii="Arial" w:hAnsi="Arial" w:cs="Arial"/>
        </w:rPr>
        <w:t xml:space="preserve">  Language including D.21.8.1.2 as follows was added in </w:t>
      </w:r>
      <w:r w:rsidR="004E5F2F" w:rsidRPr="004E5F2F">
        <w:rPr>
          <w:rFonts w:ascii="Arial" w:hAnsi="Arial" w:cs="Arial"/>
        </w:rPr>
        <w:t>its</w:t>
      </w:r>
      <w:r w:rsidR="00A22C87" w:rsidRPr="004E5F2F">
        <w:rPr>
          <w:rFonts w:ascii="Arial" w:hAnsi="Arial" w:cs="Arial"/>
        </w:rPr>
        <w:t xml:space="preserve"> entirety:</w:t>
      </w:r>
    </w:p>
    <w:p w:rsidR="00A22C87" w:rsidRPr="004E5F2F" w:rsidRDefault="00A22C87" w:rsidP="004E5F2F">
      <w:pPr>
        <w:pStyle w:val="Default"/>
        <w:ind w:left="1440"/>
        <w:rPr>
          <w:rFonts w:ascii="Arial" w:hAnsi="Arial" w:cs="Arial"/>
          <w:color w:val="FF0000"/>
          <w:sz w:val="20"/>
          <w:szCs w:val="20"/>
          <w:highlight w:val="yellow"/>
        </w:rPr>
      </w:pPr>
      <w:proofErr w:type="gramStart"/>
      <w:r w:rsidRPr="004E5F2F">
        <w:rPr>
          <w:rFonts w:ascii="Arial" w:hAnsi="Arial" w:cs="Arial"/>
          <w:color w:val="FF0000"/>
          <w:sz w:val="20"/>
          <w:szCs w:val="20"/>
          <w:highlight w:val="yellow"/>
        </w:rPr>
        <w:t>D.21.8.1.2  Driver</w:t>
      </w:r>
      <w:proofErr w:type="gramEnd"/>
      <w:r w:rsidRPr="004E5F2F">
        <w:rPr>
          <w:rFonts w:ascii="Arial" w:hAnsi="Arial" w:cs="Arial"/>
          <w:color w:val="FF0000"/>
          <w:sz w:val="20"/>
          <w:szCs w:val="20"/>
          <w:highlight w:val="yellow"/>
        </w:rPr>
        <w:t xml:space="preserve"> Hour Limitation - The following Driver Hour limitations, as referenced at D.6.6, shall apply to this agreement:</w:t>
      </w:r>
    </w:p>
    <w:p w:rsidR="00A22C87" w:rsidRPr="004E5F2F" w:rsidRDefault="00A22C87" w:rsidP="004E5F2F">
      <w:pPr>
        <w:pStyle w:val="Default"/>
        <w:numPr>
          <w:ilvl w:val="0"/>
          <w:numId w:val="11"/>
        </w:numPr>
        <w:ind w:left="1800"/>
        <w:rPr>
          <w:rFonts w:ascii="Arial" w:hAnsi="Arial" w:cs="Arial"/>
          <w:color w:val="FF0000"/>
          <w:sz w:val="20"/>
          <w:szCs w:val="20"/>
          <w:highlight w:val="yellow"/>
        </w:rPr>
      </w:pPr>
      <w:r w:rsidRPr="004E5F2F">
        <w:rPr>
          <w:rFonts w:ascii="Arial" w:hAnsi="Arial" w:cs="Arial"/>
          <w:color w:val="FF0000"/>
          <w:sz w:val="20"/>
          <w:szCs w:val="20"/>
          <w:highlight w:val="yellow"/>
        </w:rPr>
        <w:t xml:space="preserve">No driver will drive more than 10 hours (behind the wheel/actual driving time) within any duty-day (operational period, see Exhibit A). </w:t>
      </w:r>
    </w:p>
    <w:p w:rsidR="00A22C87" w:rsidRPr="004E5F2F" w:rsidRDefault="00A22C87" w:rsidP="004E5F2F">
      <w:pPr>
        <w:pStyle w:val="Default"/>
        <w:numPr>
          <w:ilvl w:val="0"/>
          <w:numId w:val="11"/>
        </w:numPr>
        <w:ind w:left="1800"/>
        <w:rPr>
          <w:rFonts w:ascii="Arial" w:hAnsi="Arial" w:cs="Arial"/>
          <w:color w:val="FF0000"/>
          <w:sz w:val="20"/>
          <w:szCs w:val="20"/>
          <w:highlight w:val="yellow"/>
        </w:rPr>
      </w:pPr>
      <w:r w:rsidRPr="004E5F2F">
        <w:rPr>
          <w:rFonts w:ascii="Arial" w:hAnsi="Arial" w:cs="Arial"/>
          <w:color w:val="FF0000"/>
          <w:sz w:val="20"/>
          <w:szCs w:val="20"/>
          <w:highlight w:val="yellow"/>
        </w:rPr>
        <w:t xml:space="preserve">Multiple drivers in a single vehicle may drive up to the duty-day limitation provided no driver exceeds the individual driving time (behind the wheel/actual driving time) limitation of 10 hours. </w:t>
      </w:r>
    </w:p>
    <w:p w:rsidR="00A22C87" w:rsidRPr="004E5F2F" w:rsidRDefault="00A22C87" w:rsidP="004E5F2F">
      <w:pPr>
        <w:pStyle w:val="Default"/>
        <w:numPr>
          <w:ilvl w:val="0"/>
          <w:numId w:val="11"/>
        </w:numPr>
        <w:ind w:left="1800"/>
        <w:rPr>
          <w:rFonts w:ascii="Arial" w:hAnsi="Arial" w:cs="Arial"/>
          <w:color w:val="FF0000"/>
          <w:sz w:val="20"/>
          <w:szCs w:val="20"/>
          <w:highlight w:val="yellow"/>
        </w:rPr>
      </w:pPr>
      <w:r w:rsidRPr="004E5F2F">
        <w:rPr>
          <w:rFonts w:ascii="Arial" w:hAnsi="Arial" w:cs="Arial"/>
          <w:color w:val="FF0000"/>
          <w:sz w:val="20"/>
          <w:szCs w:val="20"/>
          <w:highlight w:val="yellow"/>
        </w:rPr>
        <w:t xml:space="preserve">A driver shall drive only if they have had at least 8 consecutive hours off duty before beginning a shift.  An exception to the minimum off-duty hour requirement is allowed when </w:t>
      </w:r>
      <w:r w:rsidRPr="004E5F2F">
        <w:rPr>
          <w:rFonts w:ascii="Arial" w:hAnsi="Arial" w:cs="Arial"/>
          <w:b/>
          <w:bCs/>
          <w:color w:val="FF0000"/>
          <w:sz w:val="20"/>
          <w:szCs w:val="20"/>
          <w:highlight w:val="yellow"/>
        </w:rPr>
        <w:t xml:space="preserve">essential </w:t>
      </w:r>
      <w:r w:rsidRPr="004E5F2F">
        <w:rPr>
          <w:rFonts w:ascii="Arial" w:hAnsi="Arial" w:cs="Arial"/>
          <w:color w:val="FF0000"/>
          <w:sz w:val="20"/>
          <w:szCs w:val="20"/>
          <w:highlight w:val="yellow"/>
        </w:rPr>
        <w:t xml:space="preserve">to: </w:t>
      </w:r>
    </w:p>
    <w:p w:rsidR="00A22C87" w:rsidRPr="004E5F2F" w:rsidRDefault="004E5F2F" w:rsidP="004E5F2F">
      <w:pPr>
        <w:pStyle w:val="NoSpacing"/>
        <w:ind w:left="1800"/>
        <w:rPr>
          <w:rFonts w:ascii="Arial" w:hAnsi="Arial" w:cs="Arial"/>
          <w:color w:val="FF0000"/>
          <w:sz w:val="20"/>
          <w:szCs w:val="20"/>
          <w:highlight w:val="yellow"/>
        </w:rPr>
      </w:pPr>
      <w:proofErr w:type="gramStart"/>
      <w:r w:rsidRPr="004E5F2F">
        <w:rPr>
          <w:rFonts w:ascii="Arial" w:hAnsi="Arial" w:cs="Arial"/>
          <w:color w:val="FF0000"/>
          <w:sz w:val="20"/>
          <w:szCs w:val="20"/>
          <w:highlight w:val="yellow"/>
        </w:rPr>
        <w:t>i</w:t>
      </w:r>
      <w:proofErr w:type="gramEnd"/>
      <w:r w:rsidRPr="004E5F2F">
        <w:rPr>
          <w:rFonts w:ascii="Arial" w:hAnsi="Arial" w:cs="Arial"/>
          <w:color w:val="FF0000"/>
          <w:sz w:val="20"/>
          <w:szCs w:val="20"/>
          <w:highlight w:val="yellow"/>
        </w:rPr>
        <w:t xml:space="preserve">.   </w:t>
      </w:r>
      <w:r w:rsidR="00A22C87" w:rsidRPr="004E5F2F">
        <w:rPr>
          <w:rFonts w:ascii="Arial" w:hAnsi="Arial" w:cs="Arial"/>
          <w:color w:val="FF0000"/>
          <w:sz w:val="20"/>
          <w:szCs w:val="20"/>
          <w:highlight w:val="yellow"/>
        </w:rPr>
        <w:t xml:space="preserve">accomplish </w:t>
      </w:r>
      <w:r w:rsidR="00A22C87" w:rsidRPr="004E5F2F">
        <w:rPr>
          <w:rFonts w:ascii="Arial" w:hAnsi="Arial" w:cs="Arial"/>
          <w:b/>
          <w:bCs/>
          <w:color w:val="FF0000"/>
          <w:sz w:val="20"/>
          <w:szCs w:val="20"/>
          <w:highlight w:val="yellow"/>
        </w:rPr>
        <w:t xml:space="preserve">immediate </w:t>
      </w:r>
      <w:r w:rsidR="00A22C87" w:rsidRPr="004E5F2F">
        <w:rPr>
          <w:rFonts w:ascii="Arial" w:hAnsi="Arial" w:cs="Arial"/>
          <w:color w:val="FF0000"/>
          <w:sz w:val="20"/>
          <w:szCs w:val="20"/>
          <w:highlight w:val="yellow"/>
        </w:rPr>
        <w:t xml:space="preserve">and </w:t>
      </w:r>
      <w:r w:rsidR="00A22C87" w:rsidRPr="004E5F2F">
        <w:rPr>
          <w:rFonts w:ascii="Arial" w:hAnsi="Arial" w:cs="Arial"/>
          <w:b/>
          <w:bCs/>
          <w:color w:val="FF0000"/>
          <w:sz w:val="20"/>
          <w:szCs w:val="20"/>
          <w:highlight w:val="yellow"/>
        </w:rPr>
        <w:t xml:space="preserve">critical </w:t>
      </w:r>
      <w:r w:rsidR="00A22C87" w:rsidRPr="004E5F2F">
        <w:rPr>
          <w:rFonts w:ascii="Arial" w:hAnsi="Arial" w:cs="Arial"/>
          <w:color w:val="FF0000"/>
          <w:sz w:val="20"/>
          <w:szCs w:val="20"/>
          <w:highlight w:val="yellow"/>
        </w:rPr>
        <w:t xml:space="preserve">suppression objectives, or </w:t>
      </w:r>
    </w:p>
    <w:p w:rsidR="00A22C87" w:rsidRPr="004E5F2F" w:rsidRDefault="004E5F2F" w:rsidP="004E5F2F">
      <w:pPr>
        <w:pStyle w:val="NoSpacing"/>
        <w:ind w:left="1800"/>
        <w:rPr>
          <w:rFonts w:ascii="Arial" w:hAnsi="Arial" w:cs="Arial"/>
          <w:color w:val="FF0000"/>
          <w:sz w:val="20"/>
          <w:szCs w:val="20"/>
          <w:highlight w:val="yellow"/>
        </w:rPr>
      </w:pPr>
      <w:r w:rsidRPr="004E5F2F">
        <w:rPr>
          <w:rFonts w:ascii="Arial" w:hAnsi="Arial" w:cs="Arial"/>
          <w:color w:val="FF0000"/>
          <w:sz w:val="20"/>
          <w:szCs w:val="20"/>
          <w:highlight w:val="yellow"/>
        </w:rPr>
        <w:t>ii</w:t>
      </w:r>
      <w:proofErr w:type="gramStart"/>
      <w:r w:rsidRPr="004E5F2F">
        <w:rPr>
          <w:rFonts w:ascii="Arial" w:hAnsi="Arial" w:cs="Arial"/>
          <w:color w:val="FF0000"/>
          <w:sz w:val="20"/>
          <w:szCs w:val="20"/>
          <w:highlight w:val="yellow"/>
        </w:rPr>
        <w:t xml:space="preserve">.  </w:t>
      </w:r>
      <w:r w:rsidR="00A22C87" w:rsidRPr="004E5F2F">
        <w:rPr>
          <w:rFonts w:ascii="Arial" w:hAnsi="Arial" w:cs="Arial"/>
          <w:color w:val="FF0000"/>
          <w:sz w:val="20"/>
          <w:szCs w:val="20"/>
          <w:highlight w:val="yellow"/>
        </w:rPr>
        <w:t>address</w:t>
      </w:r>
      <w:proofErr w:type="gramEnd"/>
      <w:r w:rsidR="00A22C87" w:rsidRPr="004E5F2F">
        <w:rPr>
          <w:rFonts w:ascii="Arial" w:hAnsi="Arial" w:cs="Arial"/>
          <w:color w:val="FF0000"/>
          <w:sz w:val="20"/>
          <w:szCs w:val="20"/>
          <w:highlight w:val="yellow"/>
        </w:rPr>
        <w:t xml:space="preserve"> </w:t>
      </w:r>
      <w:r w:rsidR="00A22C87" w:rsidRPr="004E5F2F">
        <w:rPr>
          <w:rFonts w:ascii="Arial" w:hAnsi="Arial" w:cs="Arial"/>
          <w:b/>
          <w:bCs/>
          <w:color w:val="FF0000"/>
          <w:sz w:val="20"/>
          <w:szCs w:val="20"/>
          <w:highlight w:val="yellow"/>
        </w:rPr>
        <w:t xml:space="preserve">immediate </w:t>
      </w:r>
      <w:r w:rsidR="00A22C87" w:rsidRPr="004E5F2F">
        <w:rPr>
          <w:rFonts w:ascii="Arial" w:hAnsi="Arial" w:cs="Arial"/>
          <w:color w:val="FF0000"/>
          <w:sz w:val="20"/>
          <w:szCs w:val="20"/>
          <w:highlight w:val="yellow"/>
        </w:rPr>
        <w:t xml:space="preserve">and </w:t>
      </w:r>
      <w:r w:rsidR="00A22C87" w:rsidRPr="004E5F2F">
        <w:rPr>
          <w:rFonts w:ascii="Arial" w:hAnsi="Arial" w:cs="Arial"/>
          <w:b/>
          <w:bCs/>
          <w:color w:val="FF0000"/>
          <w:sz w:val="20"/>
          <w:szCs w:val="20"/>
          <w:highlight w:val="yellow"/>
        </w:rPr>
        <w:t xml:space="preserve">critical </w:t>
      </w:r>
      <w:r w:rsidR="00A22C87" w:rsidRPr="004E5F2F">
        <w:rPr>
          <w:rFonts w:ascii="Arial" w:hAnsi="Arial" w:cs="Arial"/>
          <w:color w:val="FF0000"/>
          <w:sz w:val="20"/>
          <w:szCs w:val="20"/>
          <w:highlight w:val="yellow"/>
        </w:rPr>
        <w:t xml:space="preserve">firefighter or public safety issues. </w:t>
      </w:r>
    </w:p>
    <w:p w:rsidR="00C3335A" w:rsidRPr="004E5F2F" w:rsidRDefault="00A22C87" w:rsidP="00C3335A">
      <w:pPr>
        <w:pStyle w:val="CM45"/>
        <w:numPr>
          <w:ilvl w:val="0"/>
          <w:numId w:val="11"/>
        </w:numPr>
        <w:spacing w:after="147" w:line="283" w:lineRule="atLeast"/>
        <w:ind w:left="1800" w:right="342"/>
        <w:rPr>
          <w:rFonts w:ascii="Arial" w:hAnsi="Arial" w:cs="Arial"/>
          <w:color w:val="FF0000"/>
          <w:sz w:val="20"/>
          <w:szCs w:val="20"/>
          <w:highlight w:val="yellow"/>
        </w:rPr>
      </w:pPr>
      <w:r w:rsidRPr="004E5F2F">
        <w:rPr>
          <w:rFonts w:ascii="Arial" w:hAnsi="Arial" w:cs="Arial"/>
          <w:color w:val="FF0000"/>
          <w:sz w:val="20"/>
          <w:szCs w:val="20"/>
          <w:highlight w:val="yellow"/>
        </w:rPr>
        <w:t>As stated in the current agency work/rest policy, documentation of mitigation measures used to reduce fatigue is required for personnel who exceed 16 hour work shifts. This is required regardless of whether the driver was still compliant with the 10 hour individual (behind the wheel) driving time limitations.</w:t>
      </w:r>
    </w:p>
    <w:p w:rsidR="00AB284B" w:rsidRPr="004E5F2F" w:rsidRDefault="00431389" w:rsidP="00431389">
      <w:pPr>
        <w:pBdr>
          <w:top w:val="single" w:sz="4" w:space="1" w:color="auto"/>
        </w:pBdr>
        <w:rPr>
          <w:rFonts w:ascii="Arial" w:hAnsi="Arial" w:cs="Arial"/>
          <w:sz w:val="20"/>
          <w:szCs w:val="20"/>
        </w:rPr>
      </w:pPr>
      <w:r>
        <w:rPr>
          <w:rFonts w:ascii="Arial" w:hAnsi="Arial" w:cs="Arial"/>
          <w:sz w:val="20"/>
          <w:szCs w:val="20"/>
        </w:rPr>
        <w:t>END OF CHANGES.</w:t>
      </w:r>
    </w:p>
    <w:sectPr w:rsidR="00AB284B" w:rsidRPr="004E5F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14EA"/>
    <w:multiLevelType w:val="hybridMultilevel"/>
    <w:tmpl w:val="9D925190"/>
    <w:lvl w:ilvl="0" w:tplc="55DC2E36">
      <w:start w:val="1"/>
      <w:numFmt w:val="lowerLetter"/>
      <w:lvlText w:val="%1."/>
      <w:lvlJc w:val="left"/>
      <w:pPr>
        <w:ind w:left="1440" w:hanging="360"/>
      </w:pPr>
      <w:rPr>
        <w:rFonts w:ascii="Times New Roman" w:eastAsiaTheme="minorHAnsi" w:hAnsi="Times New Roman"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D7498F"/>
    <w:multiLevelType w:val="hybridMultilevel"/>
    <w:tmpl w:val="DFE60CB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34D52DB"/>
    <w:multiLevelType w:val="hybridMultilevel"/>
    <w:tmpl w:val="43847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93064D"/>
    <w:multiLevelType w:val="hybridMultilevel"/>
    <w:tmpl w:val="CCA426E6"/>
    <w:lvl w:ilvl="0" w:tplc="BB0A1DCC">
      <w:start w:val="1"/>
      <w:numFmt w:val="decimal"/>
      <w:lvlText w:val="%1."/>
      <w:lvlJc w:val="left"/>
      <w:pPr>
        <w:ind w:left="720" w:hanging="360"/>
      </w:pPr>
      <w:rPr>
        <w:rFonts w:ascii="Times New Roman" w:eastAsia="Times New Roman" w:hAnsi="Times New Roman" w:cs="Times New Roman"/>
      </w:rPr>
    </w:lvl>
    <w:lvl w:ilvl="1" w:tplc="596870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B533B4"/>
    <w:multiLevelType w:val="hybridMultilevel"/>
    <w:tmpl w:val="CF405F92"/>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E54F6D"/>
    <w:multiLevelType w:val="hybridMultilevel"/>
    <w:tmpl w:val="A2C4E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CB6CE2"/>
    <w:multiLevelType w:val="hybridMultilevel"/>
    <w:tmpl w:val="21F87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775793"/>
    <w:multiLevelType w:val="hybridMultilevel"/>
    <w:tmpl w:val="951A8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322B9E"/>
    <w:multiLevelType w:val="hybridMultilevel"/>
    <w:tmpl w:val="4DBA656E"/>
    <w:lvl w:ilvl="0" w:tplc="FF2284FC">
      <w:start w:val="2"/>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5D1FA7"/>
    <w:multiLevelType w:val="hybridMultilevel"/>
    <w:tmpl w:val="43847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1B740F"/>
    <w:multiLevelType w:val="hybridMultilevel"/>
    <w:tmpl w:val="18B093C8"/>
    <w:lvl w:ilvl="0" w:tplc="D24686F2">
      <w:start w:val="1"/>
      <w:numFmt w:val="decimal"/>
      <w:pStyle w:val="Body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EEE6FD2"/>
    <w:multiLevelType w:val="hybridMultilevel"/>
    <w:tmpl w:val="C2025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C57D48"/>
    <w:multiLevelType w:val="hybridMultilevel"/>
    <w:tmpl w:val="73B68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F124C1"/>
    <w:multiLevelType w:val="hybridMultilevel"/>
    <w:tmpl w:val="4DAC5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EC268E"/>
    <w:multiLevelType w:val="hybridMultilevel"/>
    <w:tmpl w:val="80F49E6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77764D4F"/>
    <w:multiLevelType w:val="hybridMultilevel"/>
    <w:tmpl w:val="3B906C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0A58FC"/>
    <w:multiLevelType w:val="hybridMultilevel"/>
    <w:tmpl w:val="9CCCC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7"/>
  </w:num>
  <w:num w:numId="3">
    <w:abstractNumId w:val="12"/>
  </w:num>
  <w:num w:numId="4">
    <w:abstractNumId w:val="5"/>
  </w:num>
  <w:num w:numId="5">
    <w:abstractNumId w:val="6"/>
  </w:num>
  <w:num w:numId="6">
    <w:abstractNumId w:val="9"/>
  </w:num>
  <w:num w:numId="7">
    <w:abstractNumId w:val="11"/>
  </w:num>
  <w:num w:numId="8">
    <w:abstractNumId w:val="4"/>
  </w:num>
  <w:num w:numId="9">
    <w:abstractNumId w:val="1"/>
  </w:num>
  <w:num w:numId="10">
    <w:abstractNumId w:val="8"/>
  </w:num>
  <w:num w:numId="11">
    <w:abstractNumId w:val="0"/>
  </w:num>
  <w:num w:numId="12">
    <w:abstractNumId w:val="14"/>
  </w:num>
  <w:num w:numId="13">
    <w:abstractNumId w:val="3"/>
  </w:num>
  <w:num w:numId="14">
    <w:abstractNumId w:val="15"/>
  </w:num>
  <w:num w:numId="15">
    <w:abstractNumId w:val="2"/>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35A"/>
    <w:rsid w:val="00060777"/>
    <w:rsid w:val="00083271"/>
    <w:rsid w:val="000F59B8"/>
    <w:rsid w:val="00167C2D"/>
    <w:rsid w:val="002E123B"/>
    <w:rsid w:val="00317392"/>
    <w:rsid w:val="00431389"/>
    <w:rsid w:val="004E462D"/>
    <w:rsid w:val="004E5F2F"/>
    <w:rsid w:val="0054001F"/>
    <w:rsid w:val="005964AE"/>
    <w:rsid w:val="005B10C6"/>
    <w:rsid w:val="006F2345"/>
    <w:rsid w:val="007912B2"/>
    <w:rsid w:val="00826876"/>
    <w:rsid w:val="00861D6C"/>
    <w:rsid w:val="008F661E"/>
    <w:rsid w:val="00992C09"/>
    <w:rsid w:val="009956F1"/>
    <w:rsid w:val="009964F8"/>
    <w:rsid w:val="00A22C87"/>
    <w:rsid w:val="00A865CC"/>
    <w:rsid w:val="00B928FB"/>
    <w:rsid w:val="00C3335A"/>
    <w:rsid w:val="00C359A2"/>
    <w:rsid w:val="00C46EB4"/>
    <w:rsid w:val="00E50253"/>
    <w:rsid w:val="00FF5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335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9956F1"/>
    <w:rPr>
      <w:color w:val="0000FF"/>
      <w:u w:val="single"/>
    </w:rPr>
  </w:style>
  <w:style w:type="paragraph" w:styleId="ListParagraph">
    <w:name w:val="List Paragraph"/>
    <w:basedOn w:val="Normal"/>
    <w:uiPriority w:val="34"/>
    <w:qFormat/>
    <w:rsid w:val="00E50253"/>
    <w:pPr>
      <w:ind w:left="720"/>
      <w:contextualSpacing/>
    </w:pPr>
  </w:style>
  <w:style w:type="paragraph" w:customStyle="1" w:styleId="1">
    <w:name w:val="(1)"/>
    <w:aliases w:val="Number List a,(a)"/>
    <w:basedOn w:val="Normal"/>
    <w:rsid w:val="00B928FB"/>
    <w:pPr>
      <w:tabs>
        <w:tab w:val="left" w:pos="720"/>
        <w:tab w:val="left" w:pos="1440"/>
        <w:tab w:val="left" w:pos="2160"/>
      </w:tabs>
      <w:spacing w:before="120" w:after="120" w:line="240" w:lineRule="atLeast"/>
      <w:ind w:left="734" w:hanging="547"/>
    </w:pPr>
    <w:rPr>
      <w:rFonts w:ascii="Arial" w:eastAsia="Times New Roman" w:hAnsi="Arial" w:cs="Times New Roman"/>
      <w:b/>
      <w:bCs/>
      <w:sz w:val="24"/>
      <w:szCs w:val="20"/>
    </w:rPr>
  </w:style>
  <w:style w:type="paragraph" w:styleId="NoSpacing">
    <w:name w:val="No Spacing"/>
    <w:uiPriority w:val="1"/>
    <w:qFormat/>
    <w:rsid w:val="00A22C87"/>
    <w:pPr>
      <w:spacing w:after="0" w:line="240" w:lineRule="auto"/>
    </w:pPr>
    <w:rPr>
      <w:rFonts w:eastAsiaTheme="minorEastAsia"/>
    </w:rPr>
  </w:style>
  <w:style w:type="paragraph" w:customStyle="1" w:styleId="Default">
    <w:name w:val="Default"/>
    <w:rsid w:val="00A22C87"/>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45">
    <w:name w:val="CM45"/>
    <w:basedOn w:val="Default"/>
    <w:next w:val="Default"/>
    <w:uiPriority w:val="99"/>
    <w:rsid w:val="00A22C87"/>
    <w:rPr>
      <w:color w:val="auto"/>
    </w:rPr>
  </w:style>
  <w:style w:type="paragraph" w:customStyle="1" w:styleId="BodyA">
    <w:name w:val="Body A"/>
    <w:autoRedefine/>
    <w:rsid w:val="005B10C6"/>
    <w:pPr>
      <w:numPr>
        <w:numId w:val="17"/>
      </w:numPr>
      <w:spacing w:after="0" w:line="240" w:lineRule="auto"/>
    </w:pPr>
    <w:rPr>
      <w:rFonts w:ascii="Times New Roman" w:eastAsia="ヒラギノ角ゴ Pro W3" w:hAnsi="Times New Roman"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335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9956F1"/>
    <w:rPr>
      <w:color w:val="0000FF"/>
      <w:u w:val="single"/>
    </w:rPr>
  </w:style>
  <w:style w:type="paragraph" w:styleId="ListParagraph">
    <w:name w:val="List Paragraph"/>
    <w:basedOn w:val="Normal"/>
    <w:uiPriority w:val="34"/>
    <w:qFormat/>
    <w:rsid w:val="00E50253"/>
    <w:pPr>
      <w:ind w:left="720"/>
      <w:contextualSpacing/>
    </w:pPr>
  </w:style>
  <w:style w:type="paragraph" w:customStyle="1" w:styleId="1">
    <w:name w:val="(1)"/>
    <w:aliases w:val="Number List a,(a)"/>
    <w:basedOn w:val="Normal"/>
    <w:rsid w:val="00B928FB"/>
    <w:pPr>
      <w:tabs>
        <w:tab w:val="left" w:pos="720"/>
        <w:tab w:val="left" w:pos="1440"/>
        <w:tab w:val="left" w:pos="2160"/>
      </w:tabs>
      <w:spacing w:before="120" w:after="120" w:line="240" w:lineRule="atLeast"/>
      <w:ind w:left="734" w:hanging="547"/>
    </w:pPr>
    <w:rPr>
      <w:rFonts w:ascii="Arial" w:eastAsia="Times New Roman" w:hAnsi="Arial" w:cs="Times New Roman"/>
      <w:b/>
      <w:bCs/>
      <w:sz w:val="24"/>
      <w:szCs w:val="20"/>
    </w:rPr>
  </w:style>
  <w:style w:type="paragraph" w:styleId="NoSpacing">
    <w:name w:val="No Spacing"/>
    <w:uiPriority w:val="1"/>
    <w:qFormat/>
    <w:rsid w:val="00A22C87"/>
    <w:pPr>
      <w:spacing w:after="0" w:line="240" w:lineRule="auto"/>
    </w:pPr>
    <w:rPr>
      <w:rFonts w:eastAsiaTheme="minorEastAsia"/>
    </w:rPr>
  </w:style>
  <w:style w:type="paragraph" w:customStyle="1" w:styleId="Default">
    <w:name w:val="Default"/>
    <w:rsid w:val="00A22C87"/>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45">
    <w:name w:val="CM45"/>
    <w:basedOn w:val="Default"/>
    <w:next w:val="Default"/>
    <w:uiPriority w:val="99"/>
    <w:rsid w:val="00A22C87"/>
    <w:rPr>
      <w:color w:val="auto"/>
    </w:rPr>
  </w:style>
  <w:style w:type="paragraph" w:customStyle="1" w:styleId="BodyA">
    <w:name w:val="Body A"/>
    <w:autoRedefine/>
    <w:rsid w:val="005B10C6"/>
    <w:pPr>
      <w:numPr>
        <w:numId w:val="17"/>
      </w:numPr>
      <w:spacing w:after="0" w:line="240" w:lineRule="auto"/>
    </w:pPr>
    <w:rPr>
      <w:rFonts w:ascii="Times New Roman" w:eastAsia="ヒラギノ角ゴ Pro W3"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6597">
      <w:bodyDiv w:val="1"/>
      <w:marLeft w:val="0"/>
      <w:marRight w:val="0"/>
      <w:marTop w:val="0"/>
      <w:marBottom w:val="0"/>
      <w:divBdr>
        <w:top w:val="none" w:sz="0" w:space="0" w:color="auto"/>
        <w:left w:val="none" w:sz="0" w:space="0" w:color="auto"/>
        <w:bottom w:val="none" w:sz="0" w:space="0" w:color="auto"/>
        <w:right w:val="none" w:sz="0" w:space="0" w:color="auto"/>
      </w:divBdr>
    </w:div>
    <w:div w:id="474563724">
      <w:bodyDiv w:val="1"/>
      <w:marLeft w:val="0"/>
      <w:marRight w:val="0"/>
      <w:marTop w:val="0"/>
      <w:marBottom w:val="0"/>
      <w:divBdr>
        <w:top w:val="none" w:sz="0" w:space="0" w:color="auto"/>
        <w:left w:val="none" w:sz="0" w:space="0" w:color="auto"/>
        <w:bottom w:val="none" w:sz="0" w:space="0" w:color="auto"/>
        <w:right w:val="none" w:sz="0" w:space="0" w:color="auto"/>
      </w:divBdr>
    </w:div>
    <w:div w:id="542136199">
      <w:bodyDiv w:val="1"/>
      <w:marLeft w:val="0"/>
      <w:marRight w:val="0"/>
      <w:marTop w:val="0"/>
      <w:marBottom w:val="0"/>
      <w:divBdr>
        <w:top w:val="none" w:sz="0" w:space="0" w:color="auto"/>
        <w:left w:val="none" w:sz="0" w:space="0" w:color="auto"/>
        <w:bottom w:val="none" w:sz="0" w:space="0" w:color="auto"/>
        <w:right w:val="none" w:sz="0" w:space="0" w:color="auto"/>
      </w:divBdr>
    </w:div>
    <w:div w:id="899831670">
      <w:bodyDiv w:val="1"/>
      <w:marLeft w:val="0"/>
      <w:marRight w:val="0"/>
      <w:marTop w:val="0"/>
      <w:marBottom w:val="0"/>
      <w:divBdr>
        <w:top w:val="none" w:sz="0" w:space="0" w:color="auto"/>
        <w:left w:val="none" w:sz="0" w:space="0" w:color="auto"/>
        <w:bottom w:val="none" w:sz="0" w:space="0" w:color="auto"/>
        <w:right w:val="none" w:sz="0" w:space="0" w:color="auto"/>
      </w:divBdr>
    </w:div>
    <w:div w:id="1083186773">
      <w:bodyDiv w:val="1"/>
      <w:marLeft w:val="0"/>
      <w:marRight w:val="0"/>
      <w:marTop w:val="0"/>
      <w:marBottom w:val="0"/>
      <w:divBdr>
        <w:top w:val="none" w:sz="0" w:space="0" w:color="auto"/>
        <w:left w:val="none" w:sz="0" w:space="0" w:color="auto"/>
        <w:bottom w:val="none" w:sz="0" w:space="0" w:color="auto"/>
        <w:right w:val="none" w:sz="0" w:space="0" w:color="auto"/>
      </w:divBdr>
    </w:div>
    <w:div w:id="1271472091">
      <w:bodyDiv w:val="1"/>
      <w:marLeft w:val="0"/>
      <w:marRight w:val="0"/>
      <w:marTop w:val="0"/>
      <w:marBottom w:val="0"/>
      <w:divBdr>
        <w:top w:val="none" w:sz="0" w:space="0" w:color="auto"/>
        <w:left w:val="none" w:sz="0" w:space="0" w:color="auto"/>
        <w:bottom w:val="none" w:sz="0" w:space="0" w:color="auto"/>
        <w:right w:val="none" w:sz="0" w:space="0" w:color="auto"/>
      </w:divBdr>
    </w:div>
    <w:div w:id="1428192575">
      <w:bodyDiv w:val="1"/>
      <w:marLeft w:val="0"/>
      <w:marRight w:val="0"/>
      <w:marTop w:val="0"/>
      <w:marBottom w:val="0"/>
      <w:divBdr>
        <w:top w:val="none" w:sz="0" w:space="0" w:color="auto"/>
        <w:left w:val="none" w:sz="0" w:space="0" w:color="auto"/>
        <w:bottom w:val="none" w:sz="0" w:space="0" w:color="auto"/>
        <w:right w:val="none" w:sz="0" w:space="0" w:color="auto"/>
      </w:divBdr>
    </w:div>
    <w:div w:id="1489637346">
      <w:bodyDiv w:val="1"/>
      <w:marLeft w:val="0"/>
      <w:marRight w:val="0"/>
      <w:marTop w:val="0"/>
      <w:marBottom w:val="0"/>
      <w:divBdr>
        <w:top w:val="none" w:sz="0" w:space="0" w:color="auto"/>
        <w:left w:val="none" w:sz="0" w:space="0" w:color="auto"/>
        <w:bottom w:val="none" w:sz="0" w:space="0" w:color="auto"/>
        <w:right w:val="none" w:sz="0" w:space="0" w:color="auto"/>
      </w:divBdr>
    </w:div>
    <w:div w:id="164261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quisition.gov" TargetMode="External"/><Relationship Id="rId3" Type="http://schemas.microsoft.com/office/2007/relationships/stylesWithEffects" Target="stylesWithEffects.xml"/><Relationship Id="rId7" Type="http://schemas.openxmlformats.org/officeDocument/2006/relationships/hyperlink" Target="http://www.fs.fed.us/business/incident/vendorapp.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s.fed.us/business/incident/vendorsupport.php"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2325</Words>
  <Characters>13253</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15547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bojiron</dc:creator>
  <cp:keywords/>
  <dc:description/>
  <cp:lastModifiedBy>Sawyer, Tracy -FS</cp:lastModifiedBy>
  <cp:revision>2</cp:revision>
  <dcterms:created xsi:type="dcterms:W3CDTF">2012-10-03T19:34:00Z</dcterms:created>
  <dcterms:modified xsi:type="dcterms:W3CDTF">2012-10-03T19:34:00Z</dcterms:modified>
</cp:coreProperties>
</file>