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45C" w:rsidRPr="00E52CEE" w:rsidRDefault="008219AF" w:rsidP="00B31F12">
      <w:pPr>
        <w:jc w:val="center"/>
        <w:rPr>
          <w:b/>
          <w:bCs/>
          <w:sz w:val="36"/>
        </w:rPr>
      </w:pPr>
      <w:r>
        <w:rPr>
          <w:noProof/>
          <w:sz w:val="20"/>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769620" cy="800100"/>
            <wp:effectExtent l="0" t="0" r="0" b="0"/>
            <wp:wrapNone/>
            <wp:docPr id="6" name="Picture 6" descr="fs_green.jpg - 296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_green.jpg - 2962 By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9620" cy="800100"/>
                    </a:xfrm>
                    <a:prstGeom prst="rect">
                      <a:avLst/>
                    </a:prstGeom>
                    <a:noFill/>
                  </pic:spPr>
                </pic:pic>
              </a:graphicData>
            </a:graphic>
            <wp14:sizeRelH relativeFrom="page">
              <wp14:pctWidth>0</wp14:pctWidth>
            </wp14:sizeRelH>
            <wp14:sizeRelV relativeFrom="page">
              <wp14:pctHeight>0</wp14:pctHeight>
            </wp14:sizeRelV>
          </wp:anchor>
        </w:drawing>
      </w:r>
      <w:r w:rsidR="006A5610">
        <w:rPr>
          <w:sz w:val="36"/>
        </w:rPr>
        <w:t xml:space="preserve">NFS </w:t>
      </w:r>
      <w:r w:rsidR="00E52CEE" w:rsidRPr="00E52CEE">
        <w:rPr>
          <w:sz w:val="36"/>
        </w:rPr>
        <w:t>Briefing Paper</w:t>
      </w:r>
    </w:p>
    <w:p w:rsidR="004122BE" w:rsidRDefault="006F5CC4" w:rsidP="004122BE">
      <w:pPr>
        <w:pStyle w:val="Heading3"/>
        <w:pBdr>
          <w:bottom w:val="single" w:sz="12" w:space="9" w:color="auto"/>
        </w:pBdr>
        <w:jc w:val="center"/>
      </w:pPr>
      <w:r>
        <w:t>Groundw</w:t>
      </w:r>
      <w:bookmarkStart w:id="0" w:name="OLE_LINK1"/>
      <w:r w:rsidR="00182BA0">
        <w:t>ater</w:t>
      </w:r>
      <w:r w:rsidR="008219AF">
        <w:t xml:space="preserve"> </w:t>
      </w:r>
      <w:bookmarkEnd w:id="0"/>
      <w:r w:rsidR="004122BE">
        <w:t xml:space="preserve">Technical Guide </w:t>
      </w:r>
    </w:p>
    <w:p w:rsidR="00387CD6" w:rsidRPr="00387CD6" w:rsidRDefault="004122BE" w:rsidP="004122BE">
      <w:pPr>
        <w:pStyle w:val="Heading3"/>
        <w:pBdr>
          <w:bottom w:val="single" w:sz="12" w:space="9" w:color="auto"/>
        </w:pBdr>
        <w:jc w:val="center"/>
        <w:rPr>
          <w:sz w:val="36"/>
        </w:rPr>
      </w:pPr>
      <w:r>
        <w:t>Development</w:t>
      </w:r>
    </w:p>
    <w:p w:rsidR="00A5645C" w:rsidRPr="005F4F36" w:rsidRDefault="00A5645C" w:rsidP="00273304">
      <w:pPr>
        <w:pStyle w:val="Heading3"/>
        <w:jc w:val="right"/>
        <w:rPr>
          <w:b w:val="0"/>
          <w:bCs w:val="0"/>
          <w:sz w:val="22"/>
          <w:szCs w:val="22"/>
        </w:rPr>
      </w:pPr>
      <w:r>
        <w:t xml:space="preserve">                       </w:t>
      </w:r>
      <w:r>
        <w:rPr>
          <w:b w:val="0"/>
          <w:bCs w:val="0"/>
        </w:rPr>
        <w:tab/>
      </w:r>
      <w:r>
        <w:rPr>
          <w:b w:val="0"/>
          <w:bCs w:val="0"/>
        </w:rPr>
        <w:tab/>
      </w:r>
      <w:r>
        <w:rPr>
          <w:b w:val="0"/>
          <w:bCs w:val="0"/>
        </w:rPr>
        <w:tab/>
      </w:r>
      <w:r>
        <w:rPr>
          <w:b w:val="0"/>
          <w:bCs w:val="0"/>
        </w:rPr>
        <w:tab/>
      </w:r>
      <w:r>
        <w:rPr>
          <w:b w:val="0"/>
          <w:bCs w:val="0"/>
        </w:rPr>
        <w:tab/>
      </w:r>
      <w:r>
        <w:rPr>
          <w:b w:val="0"/>
          <w:bCs w:val="0"/>
        </w:rPr>
        <w:tab/>
      </w:r>
      <w:r w:rsidRPr="005F4F36">
        <w:rPr>
          <w:b w:val="0"/>
          <w:bCs w:val="0"/>
          <w:sz w:val="22"/>
          <w:szCs w:val="22"/>
        </w:rPr>
        <w:t>Date</w:t>
      </w:r>
      <w:r w:rsidR="00025B94" w:rsidRPr="005F4F36">
        <w:rPr>
          <w:b w:val="0"/>
          <w:bCs w:val="0"/>
          <w:sz w:val="22"/>
          <w:szCs w:val="22"/>
        </w:rPr>
        <w:t>:</w:t>
      </w:r>
      <w:r w:rsidR="00D27AC1" w:rsidRPr="005F4F36">
        <w:rPr>
          <w:b w:val="0"/>
          <w:bCs w:val="0"/>
          <w:sz w:val="22"/>
          <w:szCs w:val="22"/>
        </w:rPr>
        <w:t xml:space="preserve"> </w:t>
      </w:r>
      <w:r w:rsidR="004122BE" w:rsidRPr="005F4F36">
        <w:rPr>
          <w:b w:val="0"/>
          <w:bCs w:val="0"/>
          <w:sz w:val="22"/>
          <w:szCs w:val="22"/>
        </w:rPr>
        <w:t>November 21</w:t>
      </w:r>
      <w:r w:rsidR="006F5CC4" w:rsidRPr="005F4F36">
        <w:rPr>
          <w:b w:val="0"/>
          <w:bCs w:val="0"/>
          <w:sz w:val="22"/>
          <w:szCs w:val="22"/>
        </w:rPr>
        <w:t>, 201</w:t>
      </w:r>
      <w:r w:rsidR="008219AF" w:rsidRPr="005F4F36">
        <w:rPr>
          <w:b w:val="0"/>
          <w:bCs w:val="0"/>
          <w:sz w:val="22"/>
          <w:szCs w:val="22"/>
        </w:rPr>
        <w:t>3</w:t>
      </w:r>
    </w:p>
    <w:p w:rsidR="004122BE" w:rsidRPr="005F4F36" w:rsidRDefault="004122BE" w:rsidP="00387CD6">
      <w:pPr>
        <w:ind w:left="720" w:hanging="720"/>
        <w:rPr>
          <w:b/>
          <w:bCs/>
          <w:sz w:val="22"/>
          <w:szCs w:val="22"/>
        </w:rPr>
      </w:pPr>
    </w:p>
    <w:p w:rsidR="00A5645C" w:rsidRPr="005F4F36" w:rsidRDefault="00A5645C" w:rsidP="00387CD6">
      <w:pPr>
        <w:ind w:left="720" w:hanging="720"/>
        <w:rPr>
          <w:bCs/>
          <w:sz w:val="22"/>
          <w:szCs w:val="22"/>
        </w:rPr>
      </w:pPr>
      <w:r w:rsidRPr="005F4F36">
        <w:rPr>
          <w:b/>
          <w:bCs/>
          <w:sz w:val="22"/>
          <w:szCs w:val="22"/>
        </w:rPr>
        <w:t>Topic:</w:t>
      </w:r>
      <w:r w:rsidR="00387CD6" w:rsidRPr="005F4F36">
        <w:rPr>
          <w:bCs/>
          <w:sz w:val="22"/>
          <w:szCs w:val="22"/>
        </w:rPr>
        <w:tab/>
      </w:r>
      <w:r w:rsidR="00015226" w:rsidRPr="005F4F36">
        <w:rPr>
          <w:bCs/>
          <w:sz w:val="22"/>
          <w:szCs w:val="22"/>
        </w:rPr>
        <w:t xml:space="preserve">Update </w:t>
      </w:r>
      <w:r w:rsidR="004122BE" w:rsidRPr="005F4F36">
        <w:rPr>
          <w:bCs/>
          <w:sz w:val="22"/>
          <w:szCs w:val="22"/>
        </w:rPr>
        <w:t>on the Status of Groundwater Technical Guide Development</w:t>
      </w:r>
    </w:p>
    <w:p w:rsidR="00E9172B" w:rsidRPr="005F4F36" w:rsidRDefault="00E9172B">
      <w:pPr>
        <w:rPr>
          <w:sz w:val="22"/>
          <w:szCs w:val="22"/>
        </w:rPr>
      </w:pPr>
    </w:p>
    <w:p w:rsidR="004122BE" w:rsidRPr="005F4F36" w:rsidRDefault="00A5645C">
      <w:pPr>
        <w:rPr>
          <w:bCs/>
          <w:sz w:val="22"/>
          <w:szCs w:val="22"/>
        </w:rPr>
      </w:pPr>
      <w:r w:rsidRPr="005F4F36">
        <w:rPr>
          <w:b/>
          <w:bCs/>
          <w:sz w:val="22"/>
          <w:szCs w:val="22"/>
        </w:rPr>
        <w:t>Issue:</w:t>
      </w:r>
      <w:r w:rsidRPr="005F4F36">
        <w:rPr>
          <w:bCs/>
          <w:sz w:val="22"/>
          <w:szCs w:val="22"/>
        </w:rPr>
        <w:t xml:space="preserve">  </w:t>
      </w:r>
      <w:r w:rsidR="004122BE" w:rsidRPr="005F4F36">
        <w:rPr>
          <w:bCs/>
          <w:sz w:val="22"/>
          <w:szCs w:val="22"/>
        </w:rPr>
        <w:t>Development and revision of Technical and Field Guides for managing groundwater resources is progressing and addresses key issues regarding integration of groundwater resources in agency decision making processes.  As groundwater resource management issues become more prevalent across the National Forest System, having consistent procedures incorporating best available science and technology to address current and emerging resource management issues affecting this critical resource is important.</w:t>
      </w:r>
    </w:p>
    <w:p w:rsidR="004122BE" w:rsidRPr="005F4F36" w:rsidRDefault="004122BE">
      <w:pPr>
        <w:rPr>
          <w:bCs/>
          <w:sz w:val="22"/>
          <w:szCs w:val="22"/>
        </w:rPr>
      </w:pPr>
    </w:p>
    <w:p w:rsidR="00EF1B40" w:rsidRPr="005F4F36" w:rsidRDefault="00EF1B40" w:rsidP="00EF1B40">
      <w:pPr>
        <w:rPr>
          <w:sz w:val="22"/>
          <w:szCs w:val="22"/>
        </w:rPr>
      </w:pPr>
      <w:r w:rsidRPr="005F4F36">
        <w:rPr>
          <w:b/>
          <w:sz w:val="22"/>
          <w:szCs w:val="22"/>
        </w:rPr>
        <w:t>Key Points</w:t>
      </w:r>
      <w:r w:rsidRPr="005F4F36">
        <w:rPr>
          <w:sz w:val="22"/>
          <w:szCs w:val="22"/>
        </w:rPr>
        <w:t xml:space="preserve">: </w:t>
      </w:r>
      <w:r w:rsidR="004122BE" w:rsidRPr="005F4F36">
        <w:rPr>
          <w:sz w:val="22"/>
          <w:szCs w:val="22"/>
        </w:rPr>
        <w:t>Technical Guide development includes:</w:t>
      </w:r>
    </w:p>
    <w:p w:rsidR="004122BE" w:rsidRPr="005F4F36" w:rsidRDefault="004122BE" w:rsidP="00EF1B40">
      <w:pPr>
        <w:rPr>
          <w:sz w:val="22"/>
          <w:szCs w:val="22"/>
        </w:rPr>
      </w:pPr>
    </w:p>
    <w:p w:rsidR="004122BE" w:rsidRPr="005F4F36" w:rsidRDefault="004122BE" w:rsidP="004122BE">
      <w:pPr>
        <w:numPr>
          <w:ilvl w:val="0"/>
          <w:numId w:val="3"/>
        </w:numPr>
        <w:rPr>
          <w:sz w:val="22"/>
          <w:szCs w:val="22"/>
        </w:rPr>
      </w:pPr>
      <w:r w:rsidRPr="005F4F36">
        <w:rPr>
          <w:sz w:val="22"/>
          <w:szCs w:val="22"/>
        </w:rPr>
        <w:t>Groundwater-dependent Ecosystem (GDE) Level I and II Inventory Field Guides were published in March 2012 (GTR-WO-86a and 86b).</w:t>
      </w:r>
    </w:p>
    <w:p w:rsidR="004122BE" w:rsidRPr="005F4F36" w:rsidRDefault="004122BE" w:rsidP="004122BE">
      <w:pPr>
        <w:numPr>
          <w:ilvl w:val="0"/>
          <w:numId w:val="3"/>
        </w:numPr>
        <w:rPr>
          <w:sz w:val="22"/>
          <w:szCs w:val="22"/>
        </w:rPr>
      </w:pPr>
      <w:r w:rsidRPr="005F4F36">
        <w:rPr>
          <w:sz w:val="22"/>
          <w:szCs w:val="22"/>
        </w:rPr>
        <w:t>The Groundwater Inventory, Monitoring, and Assessment (IM&amp;A) Technical Guide is currently in development and will be published in early FY15 following reconciliation of internal FS and partner review in FY14.</w:t>
      </w:r>
    </w:p>
    <w:p w:rsidR="004122BE" w:rsidRPr="005F4F36" w:rsidRDefault="004122BE" w:rsidP="004122BE">
      <w:pPr>
        <w:numPr>
          <w:ilvl w:val="0"/>
          <w:numId w:val="3"/>
        </w:numPr>
        <w:rPr>
          <w:sz w:val="22"/>
          <w:szCs w:val="22"/>
        </w:rPr>
      </w:pPr>
      <w:r w:rsidRPr="005F4F36">
        <w:rPr>
          <w:sz w:val="22"/>
          <w:szCs w:val="22"/>
        </w:rPr>
        <w:t xml:space="preserve">Revision of the Technical Guide for Managing Groundwater Resources (FS-881, March 2007) will begin in FY14.  The scope of the revision involves (a) technical updates on methods (b) new content needed to address new and emerging issues, and (c) removal of content addressed in the </w:t>
      </w:r>
      <w:proofErr w:type="gramStart"/>
      <w:r w:rsidRPr="005F4F36">
        <w:rPr>
          <w:sz w:val="22"/>
          <w:szCs w:val="22"/>
        </w:rPr>
        <w:t>IM&amp;A</w:t>
      </w:r>
      <w:proofErr w:type="gramEnd"/>
      <w:r w:rsidRPr="005F4F36">
        <w:rPr>
          <w:sz w:val="22"/>
          <w:szCs w:val="22"/>
        </w:rPr>
        <w:t xml:space="preserve"> Technical Guide and GDE Inventory Field Guides.</w:t>
      </w:r>
    </w:p>
    <w:p w:rsidR="004122BE" w:rsidRPr="005F4F36" w:rsidRDefault="004122BE" w:rsidP="004122BE">
      <w:pPr>
        <w:numPr>
          <w:ilvl w:val="0"/>
          <w:numId w:val="3"/>
        </w:numPr>
        <w:rPr>
          <w:sz w:val="22"/>
          <w:szCs w:val="22"/>
        </w:rPr>
      </w:pPr>
      <w:r w:rsidRPr="005F4F36">
        <w:rPr>
          <w:sz w:val="22"/>
          <w:szCs w:val="22"/>
        </w:rPr>
        <w:t>Development of Groundwater Technical Notes describing detailed agency approaches for developing and gathering groundwater-related data and information to support implementation of the Field and Technical Guides and project/activity management and administration is well underway</w:t>
      </w:r>
      <w:r w:rsidR="005F4F36">
        <w:rPr>
          <w:sz w:val="22"/>
          <w:szCs w:val="22"/>
        </w:rPr>
        <w:t xml:space="preserve">. </w:t>
      </w:r>
      <w:r w:rsidRPr="005F4F36">
        <w:rPr>
          <w:sz w:val="22"/>
          <w:szCs w:val="22"/>
        </w:rPr>
        <w:t xml:space="preserve"> </w:t>
      </w:r>
      <w:r w:rsidR="005F4F36">
        <w:rPr>
          <w:sz w:val="22"/>
          <w:szCs w:val="22"/>
        </w:rPr>
        <w:t>F</w:t>
      </w:r>
      <w:r w:rsidRPr="005F4F36">
        <w:rPr>
          <w:sz w:val="22"/>
          <w:szCs w:val="22"/>
        </w:rPr>
        <w:t xml:space="preserve">inal versions of the first dozen </w:t>
      </w:r>
      <w:r w:rsidR="005F4F36">
        <w:rPr>
          <w:sz w:val="22"/>
          <w:szCs w:val="22"/>
        </w:rPr>
        <w:t xml:space="preserve">Technical Notes </w:t>
      </w:r>
      <w:r w:rsidRPr="005F4F36">
        <w:rPr>
          <w:sz w:val="22"/>
          <w:szCs w:val="22"/>
        </w:rPr>
        <w:t>are anticipated in late FY14.</w:t>
      </w:r>
    </w:p>
    <w:p w:rsidR="00EF1B40" w:rsidRPr="005F4F36" w:rsidRDefault="00EF1B40" w:rsidP="00765BB0">
      <w:pPr>
        <w:rPr>
          <w:bCs/>
          <w:sz w:val="22"/>
          <w:szCs w:val="22"/>
        </w:rPr>
      </w:pPr>
    </w:p>
    <w:p w:rsidR="004122BE" w:rsidRPr="005F4F36" w:rsidRDefault="004122BE" w:rsidP="004122BE">
      <w:pPr>
        <w:rPr>
          <w:sz w:val="22"/>
          <w:szCs w:val="22"/>
        </w:rPr>
      </w:pPr>
      <w:r w:rsidRPr="005F4F36">
        <w:rPr>
          <w:b/>
          <w:sz w:val="22"/>
          <w:szCs w:val="22"/>
        </w:rPr>
        <w:t xml:space="preserve">Background: </w:t>
      </w:r>
      <w:r w:rsidRPr="005F4F36">
        <w:rPr>
          <w:sz w:val="22"/>
          <w:szCs w:val="22"/>
        </w:rPr>
        <w:t>With the increasing pressure o</w:t>
      </w:r>
      <w:r w:rsidR="00944332">
        <w:rPr>
          <w:sz w:val="22"/>
          <w:szCs w:val="22"/>
        </w:rPr>
        <w:t>n NFS lands to supply the water</w:t>
      </w:r>
      <w:bookmarkStart w:id="1" w:name="_GoBack"/>
      <w:bookmarkEnd w:id="1"/>
      <w:r w:rsidRPr="005F4F36">
        <w:rPr>
          <w:sz w:val="22"/>
          <w:szCs w:val="22"/>
        </w:rPr>
        <w:t xml:space="preserve"> needed for human activities in the semi-arid to arid West and elsewhere, it is becoming critical to the agency’s mission that we identify the existing </w:t>
      </w:r>
      <w:r w:rsidR="005F4F36" w:rsidRPr="005F4F36">
        <w:rPr>
          <w:sz w:val="22"/>
          <w:szCs w:val="22"/>
        </w:rPr>
        <w:t xml:space="preserve">groundwater resources </w:t>
      </w:r>
      <w:r w:rsidR="005F4F36">
        <w:rPr>
          <w:sz w:val="22"/>
          <w:szCs w:val="22"/>
        </w:rPr>
        <w:t xml:space="preserve">and </w:t>
      </w:r>
      <w:r w:rsidRPr="005F4F36">
        <w:rPr>
          <w:sz w:val="22"/>
          <w:szCs w:val="22"/>
        </w:rPr>
        <w:t>groundwater-dependent ecosystems on NFS lands so that they can be appropriately addressed in a comprehensive manner across the spectrum of agency decision making. In response to the Inventory, Monitoring and Assessment (IM&amp;A) improvement strategy, the Steering Team has identified the following opportunities for improved collaboration with other agencies and conservation partners in this effort:</w:t>
      </w:r>
    </w:p>
    <w:p w:rsidR="004122BE" w:rsidRPr="005F4F36" w:rsidRDefault="004122BE" w:rsidP="004122BE">
      <w:pPr>
        <w:pStyle w:val="ListParagraph"/>
        <w:numPr>
          <w:ilvl w:val="0"/>
          <w:numId w:val="8"/>
        </w:numPr>
        <w:rPr>
          <w:rFonts w:ascii="Times New Roman" w:hAnsi="Times New Roman" w:cs="Times New Roman"/>
        </w:rPr>
      </w:pPr>
      <w:r w:rsidRPr="005F4F36">
        <w:rPr>
          <w:rFonts w:ascii="Times New Roman" w:hAnsi="Times New Roman" w:cs="Times New Roman"/>
        </w:rPr>
        <w:t>Improve interagency representatives and partner awareness of the revision effort.</w:t>
      </w:r>
    </w:p>
    <w:p w:rsidR="004122BE" w:rsidRPr="005F4F36" w:rsidRDefault="004122BE" w:rsidP="004122BE">
      <w:pPr>
        <w:pStyle w:val="ListParagraph"/>
        <w:numPr>
          <w:ilvl w:val="0"/>
          <w:numId w:val="8"/>
        </w:numPr>
        <w:rPr>
          <w:rFonts w:ascii="Times New Roman" w:hAnsi="Times New Roman" w:cs="Times New Roman"/>
        </w:rPr>
      </w:pPr>
      <w:r w:rsidRPr="005F4F36">
        <w:rPr>
          <w:rFonts w:ascii="Times New Roman" w:hAnsi="Times New Roman" w:cs="Times New Roman"/>
        </w:rPr>
        <w:t xml:space="preserve">Solicit continued participation by partner representatives </w:t>
      </w:r>
      <w:r w:rsidR="00704C9B" w:rsidRPr="005F4F36">
        <w:rPr>
          <w:rFonts w:ascii="Times New Roman" w:hAnsi="Times New Roman" w:cs="Times New Roman"/>
        </w:rPr>
        <w:t>on the project development team.</w:t>
      </w:r>
    </w:p>
    <w:p w:rsidR="004122BE" w:rsidRPr="005F4F36" w:rsidRDefault="00704C9B" w:rsidP="004122BE">
      <w:pPr>
        <w:pStyle w:val="ListParagraph"/>
        <w:numPr>
          <w:ilvl w:val="0"/>
          <w:numId w:val="8"/>
        </w:numPr>
        <w:rPr>
          <w:rFonts w:ascii="Times New Roman" w:hAnsi="Times New Roman" w:cs="Times New Roman"/>
        </w:rPr>
      </w:pPr>
      <w:r w:rsidRPr="005F4F36">
        <w:rPr>
          <w:rFonts w:ascii="Times New Roman" w:hAnsi="Times New Roman" w:cs="Times New Roman"/>
        </w:rPr>
        <w:t>Continued p</w:t>
      </w:r>
      <w:r w:rsidR="004122BE" w:rsidRPr="005F4F36">
        <w:rPr>
          <w:rFonts w:ascii="Times New Roman" w:hAnsi="Times New Roman" w:cs="Times New Roman"/>
        </w:rPr>
        <w:t>artnering with The Nature Conservancy to develop, test, and document procedures for determining groundwater flows/levels needed to sustain groundwater systems.</w:t>
      </w:r>
    </w:p>
    <w:p w:rsidR="004122BE" w:rsidRPr="005F4F36" w:rsidRDefault="004122BE" w:rsidP="004122BE">
      <w:pPr>
        <w:pStyle w:val="ListParagraph"/>
        <w:numPr>
          <w:ilvl w:val="0"/>
          <w:numId w:val="8"/>
        </w:numPr>
        <w:spacing w:after="0"/>
        <w:rPr>
          <w:rFonts w:ascii="Times New Roman" w:hAnsi="Times New Roman" w:cs="Times New Roman"/>
        </w:rPr>
      </w:pPr>
      <w:r w:rsidRPr="005F4F36">
        <w:rPr>
          <w:rFonts w:ascii="Times New Roman" w:hAnsi="Times New Roman" w:cs="Times New Roman"/>
        </w:rPr>
        <w:t xml:space="preserve">Provide cooperators </w:t>
      </w:r>
      <w:proofErr w:type="gramStart"/>
      <w:r w:rsidRPr="005F4F36">
        <w:rPr>
          <w:rFonts w:ascii="Times New Roman" w:hAnsi="Times New Roman" w:cs="Times New Roman"/>
        </w:rPr>
        <w:t>an</w:t>
      </w:r>
      <w:proofErr w:type="gramEnd"/>
      <w:r w:rsidRPr="005F4F36">
        <w:rPr>
          <w:rFonts w:ascii="Times New Roman" w:hAnsi="Times New Roman" w:cs="Times New Roman"/>
        </w:rPr>
        <w:t xml:space="preserve"> opportunity for review concurrent with internal FS review.</w:t>
      </w:r>
    </w:p>
    <w:p w:rsidR="004122BE" w:rsidRPr="005F4F36" w:rsidRDefault="004122BE" w:rsidP="004122BE">
      <w:pPr>
        <w:rPr>
          <w:bCs/>
          <w:sz w:val="22"/>
          <w:szCs w:val="22"/>
        </w:rPr>
      </w:pPr>
      <w:r w:rsidRPr="005F4F36">
        <w:rPr>
          <w:sz w:val="22"/>
          <w:szCs w:val="22"/>
        </w:rPr>
        <w:t xml:space="preserve">A separate briefing paper regarding evaluation and review of the Groundwater </w:t>
      </w:r>
      <w:proofErr w:type="gramStart"/>
      <w:r w:rsidRPr="005F4F36">
        <w:rPr>
          <w:sz w:val="22"/>
          <w:szCs w:val="22"/>
        </w:rPr>
        <w:t>IM&amp;A</w:t>
      </w:r>
      <w:proofErr w:type="gramEnd"/>
      <w:r w:rsidRPr="005F4F36">
        <w:rPr>
          <w:sz w:val="22"/>
          <w:szCs w:val="22"/>
        </w:rPr>
        <w:t xml:space="preserve"> Technical Guide </w:t>
      </w:r>
      <w:r w:rsidR="00704C9B" w:rsidRPr="005F4F36">
        <w:rPr>
          <w:sz w:val="22"/>
          <w:szCs w:val="22"/>
        </w:rPr>
        <w:t>follows up on</w:t>
      </w:r>
      <w:r w:rsidRPr="005F4F36">
        <w:rPr>
          <w:sz w:val="22"/>
          <w:szCs w:val="22"/>
        </w:rPr>
        <w:t xml:space="preserve"> these recommendations.</w:t>
      </w:r>
    </w:p>
    <w:p w:rsidR="004122BE" w:rsidRPr="005F4F36" w:rsidRDefault="004122BE" w:rsidP="00765BB0">
      <w:pPr>
        <w:rPr>
          <w:bCs/>
          <w:sz w:val="22"/>
          <w:szCs w:val="22"/>
        </w:rPr>
      </w:pPr>
    </w:p>
    <w:p w:rsidR="00273304" w:rsidRPr="005F4F36" w:rsidRDefault="00273304" w:rsidP="00273304">
      <w:pPr>
        <w:rPr>
          <w:sz w:val="22"/>
          <w:szCs w:val="22"/>
        </w:rPr>
      </w:pPr>
      <w:r w:rsidRPr="005F4F36">
        <w:rPr>
          <w:b/>
          <w:sz w:val="22"/>
          <w:szCs w:val="22"/>
        </w:rPr>
        <w:t>Contact</w:t>
      </w:r>
      <w:r w:rsidR="005400B6" w:rsidRPr="005F4F36">
        <w:rPr>
          <w:b/>
          <w:sz w:val="22"/>
          <w:szCs w:val="22"/>
        </w:rPr>
        <w:t>s</w:t>
      </w:r>
      <w:r w:rsidRPr="005F4F36">
        <w:rPr>
          <w:sz w:val="22"/>
          <w:szCs w:val="22"/>
        </w:rPr>
        <w:t xml:space="preserve">:  </w:t>
      </w:r>
    </w:p>
    <w:p w:rsidR="004A3863" w:rsidRPr="005F4F36" w:rsidRDefault="005F4F36" w:rsidP="00273304">
      <w:pPr>
        <w:rPr>
          <w:sz w:val="22"/>
          <w:szCs w:val="22"/>
        </w:rPr>
      </w:pPr>
      <w:r>
        <w:rPr>
          <w:sz w:val="22"/>
          <w:szCs w:val="22"/>
        </w:rPr>
        <w:t>Rob Harper</w:t>
      </w:r>
      <w:r w:rsidR="001428BA" w:rsidRPr="005F4F36">
        <w:rPr>
          <w:sz w:val="22"/>
          <w:szCs w:val="22"/>
        </w:rPr>
        <w:t xml:space="preserve">, </w:t>
      </w:r>
      <w:r>
        <w:rPr>
          <w:sz w:val="22"/>
          <w:szCs w:val="22"/>
        </w:rPr>
        <w:t xml:space="preserve">Acting </w:t>
      </w:r>
      <w:r w:rsidR="001428BA" w:rsidRPr="005F4F36">
        <w:rPr>
          <w:sz w:val="22"/>
          <w:szCs w:val="22"/>
        </w:rPr>
        <w:t>Director, Watershed, Fish, Wildlife, A</w:t>
      </w:r>
      <w:r>
        <w:rPr>
          <w:sz w:val="22"/>
          <w:szCs w:val="22"/>
        </w:rPr>
        <w:t>ir and Rare Plants, 202-205-1676</w:t>
      </w:r>
    </w:p>
    <w:p w:rsidR="004122BE" w:rsidRPr="005F4F36" w:rsidRDefault="002A058B" w:rsidP="004122BE">
      <w:pPr>
        <w:rPr>
          <w:sz w:val="22"/>
          <w:szCs w:val="22"/>
        </w:rPr>
      </w:pPr>
      <w:r w:rsidRPr="005F4F36">
        <w:rPr>
          <w:sz w:val="22"/>
          <w:szCs w:val="22"/>
        </w:rPr>
        <w:t>Nick Douglas</w:t>
      </w:r>
      <w:r w:rsidR="001428BA" w:rsidRPr="005F4F36">
        <w:rPr>
          <w:sz w:val="22"/>
          <w:szCs w:val="22"/>
        </w:rPr>
        <w:t xml:space="preserve">, Director, Minerals and Geology Management, </w:t>
      </w:r>
      <w:r w:rsidRPr="005F4F36">
        <w:rPr>
          <w:sz w:val="22"/>
          <w:szCs w:val="22"/>
        </w:rPr>
        <w:t>703</w:t>
      </w:r>
      <w:r w:rsidR="001428BA" w:rsidRPr="005F4F36">
        <w:rPr>
          <w:sz w:val="22"/>
          <w:szCs w:val="22"/>
        </w:rPr>
        <w:t>-</w:t>
      </w:r>
      <w:r w:rsidRPr="005F4F36">
        <w:rPr>
          <w:sz w:val="22"/>
          <w:szCs w:val="22"/>
        </w:rPr>
        <w:t>6</w:t>
      </w:r>
      <w:r w:rsidR="001428BA" w:rsidRPr="005F4F36">
        <w:rPr>
          <w:sz w:val="22"/>
          <w:szCs w:val="22"/>
        </w:rPr>
        <w:t>05-</w:t>
      </w:r>
      <w:r w:rsidRPr="005F4F36">
        <w:rPr>
          <w:sz w:val="22"/>
          <w:szCs w:val="22"/>
        </w:rPr>
        <w:t>4785</w:t>
      </w:r>
    </w:p>
    <w:sectPr w:rsidR="004122BE" w:rsidRPr="005F4F36" w:rsidSect="00D36FBC">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F0DF3"/>
    <w:multiLevelType w:val="hybridMultilevel"/>
    <w:tmpl w:val="67B4CA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E26B2"/>
    <w:multiLevelType w:val="hybridMultilevel"/>
    <w:tmpl w:val="D65C30D4"/>
    <w:lvl w:ilvl="0" w:tplc="0ECC29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409B6"/>
    <w:multiLevelType w:val="hybridMultilevel"/>
    <w:tmpl w:val="294247DC"/>
    <w:lvl w:ilvl="0" w:tplc="57F275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395D22"/>
    <w:multiLevelType w:val="hybridMultilevel"/>
    <w:tmpl w:val="4BCA1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EE212A"/>
    <w:multiLevelType w:val="hybridMultilevel"/>
    <w:tmpl w:val="454CFD9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3F5BF9"/>
    <w:multiLevelType w:val="hybridMultilevel"/>
    <w:tmpl w:val="9C0E65BC"/>
    <w:lvl w:ilvl="0" w:tplc="EA405E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C210BA"/>
    <w:multiLevelType w:val="hybridMultilevel"/>
    <w:tmpl w:val="294247DC"/>
    <w:lvl w:ilvl="0" w:tplc="57F275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CD30A4B"/>
    <w:multiLevelType w:val="hybridMultilevel"/>
    <w:tmpl w:val="34D8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7"/>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4B"/>
    <w:rsid w:val="000068FC"/>
    <w:rsid w:val="00015226"/>
    <w:rsid w:val="00025B94"/>
    <w:rsid w:val="0003346C"/>
    <w:rsid w:val="00082C37"/>
    <w:rsid w:val="00085526"/>
    <w:rsid w:val="0009425D"/>
    <w:rsid w:val="000C117A"/>
    <w:rsid w:val="000D62B0"/>
    <w:rsid w:val="000E33EC"/>
    <w:rsid w:val="000F25DE"/>
    <w:rsid w:val="00102071"/>
    <w:rsid w:val="001428BA"/>
    <w:rsid w:val="001606DE"/>
    <w:rsid w:val="00161F26"/>
    <w:rsid w:val="00182BA0"/>
    <w:rsid w:val="002672DC"/>
    <w:rsid w:val="00273304"/>
    <w:rsid w:val="00293030"/>
    <w:rsid w:val="002A058B"/>
    <w:rsid w:val="002A49B2"/>
    <w:rsid w:val="002B67BB"/>
    <w:rsid w:val="002C5E94"/>
    <w:rsid w:val="002D44EB"/>
    <w:rsid w:val="00303648"/>
    <w:rsid w:val="0031264F"/>
    <w:rsid w:val="003271D9"/>
    <w:rsid w:val="00387CD6"/>
    <w:rsid w:val="00396005"/>
    <w:rsid w:val="003D6415"/>
    <w:rsid w:val="004122BE"/>
    <w:rsid w:val="0046703A"/>
    <w:rsid w:val="004771A9"/>
    <w:rsid w:val="0049683B"/>
    <w:rsid w:val="00496E5A"/>
    <w:rsid w:val="004A3863"/>
    <w:rsid w:val="004C56B0"/>
    <w:rsid w:val="00512AC6"/>
    <w:rsid w:val="0051414E"/>
    <w:rsid w:val="005400B6"/>
    <w:rsid w:val="005455AB"/>
    <w:rsid w:val="00557EF8"/>
    <w:rsid w:val="00567E8C"/>
    <w:rsid w:val="005F4F36"/>
    <w:rsid w:val="00606AA8"/>
    <w:rsid w:val="00606BE5"/>
    <w:rsid w:val="00610BBF"/>
    <w:rsid w:val="00641DF3"/>
    <w:rsid w:val="00663621"/>
    <w:rsid w:val="00672B39"/>
    <w:rsid w:val="0068117A"/>
    <w:rsid w:val="00693C0B"/>
    <w:rsid w:val="006A5610"/>
    <w:rsid w:val="006C4CC4"/>
    <w:rsid w:val="006D1782"/>
    <w:rsid w:val="006D59AF"/>
    <w:rsid w:val="006F4CCD"/>
    <w:rsid w:val="006F5CC4"/>
    <w:rsid w:val="00704C9B"/>
    <w:rsid w:val="007051A0"/>
    <w:rsid w:val="007317F1"/>
    <w:rsid w:val="00736765"/>
    <w:rsid w:val="00765BB0"/>
    <w:rsid w:val="007A6BC5"/>
    <w:rsid w:val="0080191E"/>
    <w:rsid w:val="00802CB0"/>
    <w:rsid w:val="00813A2C"/>
    <w:rsid w:val="008219AF"/>
    <w:rsid w:val="00835DC3"/>
    <w:rsid w:val="00867F0C"/>
    <w:rsid w:val="00877014"/>
    <w:rsid w:val="00881228"/>
    <w:rsid w:val="008C010D"/>
    <w:rsid w:val="008C76BD"/>
    <w:rsid w:val="008D24F4"/>
    <w:rsid w:val="008D3954"/>
    <w:rsid w:val="008F1216"/>
    <w:rsid w:val="00903E5B"/>
    <w:rsid w:val="009316AF"/>
    <w:rsid w:val="009317DE"/>
    <w:rsid w:val="00944332"/>
    <w:rsid w:val="0096748A"/>
    <w:rsid w:val="0097015E"/>
    <w:rsid w:val="009C4958"/>
    <w:rsid w:val="009E7F0C"/>
    <w:rsid w:val="00A06A0B"/>
    <w:rsid w:val="00A45674"/>
    <w:rsid w:val="00A5645C"/>
    <w:rsid w:val="00A56AB5"/>
    <w:rsid w:val="00A6012E"/>
    <w:rsid w:val="00A62771"/>
    <w:rsid w:val="00A7449E"/>
    <w:rsid w:val="00A77404"/>
    <w:rsid w:val="00AA0FE8"/>
    <w:rsid w:val="00AD6B4B"/>
    <w:rsid w:val="00AD72B3"/>
    <w:rsid w:val="00B22FA0"/>
    <w:rsid w:val="00B31F12"/>
    <w:rsid w:val="00B4359D"/>
    <w:rsid w:val="00B64326"/>
    <w:rsid w:val="00BA59EB"/>
    <w:rsid w:val="00BB05E4"/>
    <w:rsid w:val="00BD5DCF"/>
    <w:rsid w:val="00BF0588"/>
    <w:rsid w:val="00C0324B"/>
    <w:rsid w:val="00C03719"/>
    <w:rsid w:val="00C1310A"/>
    <w:rsid w:val="00C2706F"/>
    <w:rsid w:val="00C306BD"/>
    <w:rsid w:val="00C574D9"/>
    <w:rsid w:val="00C85583"/>
    <w:rsid w:val="00CB744C"/>
    <w:rsid w:val="00CC0923"/>
    <w:rsid w:val="00CE14B0"/>
    <w:rsid w:val="00CF252F"/>
    <w:rsid w:val="00D27AC1"/>
    <w:rsid w:val="00D36FBC"/>
    <w:rsid w:val="00D4509B"/>
    <w:rsid w:val="00D53A75"/>
    <w:rsid w:val="00D63930"/>
    <w:rsid w:val="00D66BEA"/>
    <w:rsid w:val="00D904C9"/>
    <w:rsid w:val="00DB1450"/>
    <w:rsid w:val="00DB6C23"/>
    <w:rsid w:val="00E03824"/>
    <w:rsid w:val="00E17AEC"/>
    <w:rsid w:val="00E218DF"/>
    <w:rsid w:val="00E415BD"/>
    <w:rsid w:val="00E52CEE"/>
    <w:rsid w:val="00E730C9"/>
    <w:rsid w:val="00E9172B"/>
    <w:rsid w:val="00EC0E2B"/>
    <w:rsid w:val="00EC5C7A"/>
    <w:rsid w:val="00EC6149"/>
    <w:rsid w:val="00EF1B40"/>
    <w:rsid w:val="00EF38B6"/>
    <w:rsid w:val="00F10AB3"/>
    <w:rsid w:val="00F60A59"/>
    <w:rsid w:val="00FE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44"/>
    </w:rPr>
  </w:style>
  <w:style w:type="paragraph" w:styleId="Heading2">
    <w:name w:val="heading 2"/>
    <w:basedOn w:val="Normal"/>
    <w:next w:val="Normal"/>
    <w:qFormat/>
    <w:pPr>
      <w:keepNext/>
      <w:outlineLvl w:val="1"/>
    </w:pPr>
    <w:rPr>
      <w:sz w:val="44"/>
      <w:u w:val="thick"/>
    </w:rPr>
  </w:style>
  <w:style w:type="paragraph" w:styleId="Heading3">
    <w:name w:val="heading 3"/>
    <w:basedOn w:val="Normal"/>
    <w:next w:val="Normal"/>
    <w:qFormat/>
    <w:pPr>
      <w:keepNext/>
      <w:outlineLvl w:val="2"/>
    </w:pPr>
    <w:rPr>
      <w:b/>
      <w:bCs/>
      <w:sz w:val="40"/>
    </w:rPr>
  </w:style>
  <w:style w:type="paragraph" w:styleId="Heading4">
    <w:name w:val="heading 4"/>
    <w:basedOn w:val="Normal"/>
    <w:next w:val="Normal"/>
    <w:qFormat/>
    <w:pPr>
      <w:keepNext/>
      <w:jc w:val="center"/>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41DF3"/>
    <w:pPr>
      <w:spacing w:before="100" w:beforeAutospacing="1" w:after="100" w:afterAutospacing="1"/>
    </w:pPr>
  </w:style>
  <w:style w:type="character" w:styleId="Strong">
    <w:name w:val="Strong"/>
    <w:basedOn w:val="DefaultParagraphFont"/>
    <w:qFormat/>
    <w:rsid w:val="00641DF3"/>
    <w:rPr>
      <w:b/>
      <w:bCs/>
    </w:rPr>
  </w:style>
  <w:style w:type="character" w:styleId="Hyperlink">
    <w:name w:val="Hyperlink"/>
    <w:basedOn w:val="DefaultParagraphFont"/>
    <w:rsid w:val="00641DF3"/>
    <w:rPr>
      <w:color w:val="0000FF"/>
      <w:u w:val="single"/>
    </w:rPr>
  </w:style>
  <w:style w:type="paragraph" w:styleId="FootnoteText">
    <w:name w:val="footnote text"/>
    <w:basedOn w:val="Normal"/>
    <w:semiHidden/>
    <w:rsid w:val="00641DF3"/>
    <w:rPr>
      <w:sz w:val="20"/>
      <w:szCs w:val="20"/>
    </w:rPr>
  </w:style>
  <w:style w:type="character" w:styleId="FootnoteReference">
    <w:name w:val="footnote reference"/>
    <w:basedOn w:val="DefaultParagraphFont"/>
    <w:semiHidden/>
    <w:rsid w:val="00641DF3"/>
    <w:rPr>
      <w:vertAlign w:val="superscript"/>
    </w:rPr>
  </w:style>
  <w:style w:type="paragraph" w:styleId="BalloonText">
    <w:name w:val="Balloon Text"/>
    <w:basedOn w:val="Normal"/>
    <w:semiHidden/>
    <w:rsid w:val="00AD6B4B"/>
    <w:rPr>
      <w:rFonts w:ascii="Tahoma" w:hAnsi="Tahoma" w:cs="Tahoma"/>
      <w:sz w:val="16"/>
      <w:szCs w:val="16"/>
    </w:rPr>
  </w:style>
  <w:style w:type="paragraph" w:styleId="ListParagraph">
    <w:name w:val="List Paragraph"/>
    <w:basedOn w:val="Normal"/>
    <w:uiPriority w:val="34"/>
    <w:qFormat/>
    <w:rsid w:val="00D36FBC"/>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44"/>
    </w:rPr>
  </w:style>
  <w:style w:type="paragraph" w:styleId="Heading2">
    <w:name w:val="heading 2"/>
    <w:basedOn w:val="Normal"/>
    <w:next w:val="Normal"/>
    <w:qFormat/>
    <w:pPr>
      <w:keepNext/>
      <w:outlineLvl w:val="1"/>
    </w:pPr>
    <w:rPr>
      <w:sz w:val="44"/>
      <w:u w:val="thick"/>
    </w:rPr>
  </w:style>
  <w:style w:type="paragraph" w:styleId="Heading3">
    <w:name w:val="heading 3"/>
    <w:basedOn w:val="Normal"/>
    <w:next w:val="Normal"/>
    <w:qFormat/>
    <w:pPr>
      <w:keepNext/>
      <w:outlineLvl w:val="2"/>
    </w:pPr>
    <w:rPr>
      <w:b/>
      <w:bCs/>
      <w:sz w:val="40"/>
    </w:rPr>
  </w:style>
  <w:style w:type="paragraph" w:styleId="Heading4">
    <w:name w:val="heading 4"/>
    <w:basedOn w:val="Normal"/>
    <w:next w:val="Normal"/>
    <w:qFormat/>
    <w:pPr>
      <w:keepNext/>
      <w:jc w:val="center"/>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41DF3"/>
    <w:pPr>
      <w:spacing w:before="100" w:beforeAutospacing="1" w:after="100" w:afterAutospacing="1"/>
    </w:pPr>
  </w:style>
  <w:style w:type="character" w:styleId="Strong">
    <w:name w:val="Strong"/>
    <w:basedOn w:val="DefaultParagraphFont"/>
    <w:qFormat/>
    <w:rsid w:val="00641DF3"/>
    <w:rPr>
      <w:b/>
      <w:bCs/>
    </w:rPr>
  </w:style>
  <w:style w:type="character" w:styleId="Hyperlink">
    <w:name w:val="Hyperlink"/>
    <w:basedOn w:val="DefaultParagraphFont"/>
    <w:rsid w:val="00641DF3"/>
    <w:rPr>
      <w:color w:val="0000FF"/>
      <w:u w:val="single"/>
    </w:rPr>
  </w:style>
  <w:style w:type="paragraph" w:styleId="FootnoteText">
    <w:name w:val="footnote text"/>
    <w:basedOn w:val="Normal"/>
    <w:semiHidden/>
    <w:rsid w:val="00641DF3"/>
    <w:rPr>
      <w:sz w:val="20"/>
      <w:szCs w:val="20"/>
    </w:rPr>
  </w:style>
  <w:style w:type="character" w:styleId="FootnoteReference">
    <w:name w:val="footnote reference"/>
    <w:basedOn w:val="DefaultParagraphFont"/>
    <w:semiHidden/>
    <w:rsid w:val="00641DF3"/>
    <w:rPr>
      <w:vertAlign w:val="superscript"/>
    </w:rPr>
  </w:style>
  <w:style w:type="paragraph" w:styleId="BalloonText">
    <w:name w:val="Balloon Text"/>
    <w:basedOn w:val="Normal"/>
    <w:semiHidden/>
    <w:rsid w:val="00AD6B4B"/>
    <w:rPr>
      <w:rFonts w:ascii="Tahoma" w:hAnsi="Tahoma" w:cs="Tahoma"/>
      <w:sz w:val="16"/>
      <w:szCs w:val="16"/>
    </w:rPr>
  </w:style>
  <w:style w:type="paragraph" w:styleId="ListParagraph">
    <w:name w:val="List Paragraph"/>
    <w:basedOn w:val="Normal"/>
    <w:uiPriority w:val="34"/>
    <w:qFormat/>
    <w:rsid w:val="00D36FB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11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fsother\formats\USFS\briefing_pape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briefing_paper_template.dot</Template>
  <TotalTime>29</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Christopher P. Carlson</cp:lastModifiedBy>
  <cp:revision>6</cp:revision>
  <cp:lastPrinted>2013-11-21T13:46:00Z</cp:lastPrinted>
  <dcterms:created xsi:type="dcterms:W3CDTF">2013-11-18T21:29:00Z</dcterms:created>
  <dcterms:modified xsi:type="dcterms:W3CDTF">2013-11-21T15:57:00Z</dcterms:modified>
</cp:coreProperties>
</file>