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FD6B3AA" w14:textId="77777777" w:rsidR="00B57B37" w:rsidRPr="00EF26B6" w:rsidRDefault="00291638">
      <w:r w:rsidRPr="00EF26B6">
        <w:rPr>
          <w:rFonts w:ascii="Arial" w:hAnsi="Arial" w:cs="Arial"/>
          <w:noProof/>
          <w:sz w:val="22"/>
          <w:szCs w:val="22"/>
        </w:rPr>
        <mc:AlternateContent>
          <mc:Choice Requires="wps">
            <w:drawing>
              <wp:anchor distT="0" distB="0" distL="114300" distR="114300" simplePos="0" relativeHeight="251657728" behindDoc="0" locked="0" layoutInCell="1" allowOverlap="1" wp14:anchorId="1D857AAF" wp14:editId="24C04BA4">
                <wp:simplePos x="0" y="0"/>
                <wp:positionH relativeFrom="column">
                  <wp:posOffset>0</wp:posOffset>
                </wp:positionH>
                <wp:positionV relativeFrom="paragraph">
                  <wp:posOffset>228600</wp:posOffset>
                </wp:positionV>
                <wp:extent cx="5600700" cy="5715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C40EB" w14:textId="5BAB948B" w:rsidR="00F659A2" w:rsidRDefault="00F659A2" w:rsidP="00EA609D">
                            <w:pPr>
                              <w:rPr>
                                <w:rFonts w:ascii="Arial" w:hAnsi="Arial" w:cs="Arial"/>
                                <w:b/>
                                <w:i/>
                                <w:sz w:val="28"/>
                                <w:szCs w:val="28"/>
                              </w:rPr>
                            </w:pPr>
                            <w:r w:rsidRPr="00E528A0">
                              <w:rPr>
                                <w:rFonts w:ascii="Arial" w:hAnsi="Arial" w:cs="Arial"/>
                                <w:b/>
                                <w:i/>
                                <w:sz w:val="28"/>
                                <w:szCs w:val="28"/>
                              </w:rPr>
                              <w:t xml:space="preserve">Ground Water </w:t>
                            </w:r>
                            <w:r>
                              <w:rPr>
                                <w:rFonts w:ascii="Arial" w:hAnsi="Arial" w:cs="Arial"/>
                                <w:b/>
                                <w:i/>
                                <w:sz w:val="28"/>
                                <w:szCs w:val="28"/>
                              </w:rPr>
                              <w:t>Inventory, Monitoring &amp; Assessment</w:t>
                            </w:r>
                          </w:p>
                          <w:p w14:paraId="745367B0" w14:textId="77777777" w:rsidR="00F659A2" w:rsidRPr="00E528A0" w:rsidRDefault="00F659A2" w:rsidP="00EA609D">
                            <w:pPr>
                              <w:rPr>
                                <w:rFonts w:ascii="Arial" w:hAnsi="Arial" w:cs="Arial"/>
                                <w:b/>
                                <w:i/>
                                <w:sz w:val="28"/>
                                <w:szCs w:val="28"/>
                              </w:rPr>
                            </w:pPr>
                            <w:r>
                              <w:rPr>
                                <w:rFonts w:ascii="Arial" w:hAnsi="Arial" w:cs="Arial"/>
                                <w:b/>
                                <w:i/>
                                <w:sz w:val="28"/>
                                <w:szCs w:val="28"/>
                              </w:rPr>
                              <w:t>Technical Guide</w:t>
                            </w:r>
                            <w:r w:rsidRPr="00E528A0">
                              <w:rPr>
                                <w:rFonts w:ascii="Arial" w:hAnsi="Arial" w:cs="Arial"/>
                                <w:b/>
                                <w:i/>
                                <w:sz w:val="28"/>
                                <w:szCs w:val="28"/>
                              </w:rPr>
                              <w:t xml:space="preserve"> Development</w:t>
                            </w:r>
                          </w:p>
                          <w:p w14:paraId="3EBDAF91" w14:textId="77777777" w:rsidR="00F659A2" w:rsidRPr="00EA609D" w:rsidRDefault="00F659A2" w:rsidP="00EA609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0;margin-top:18pt;width:44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EYO7MCAAC5BQAADgAAAGRycy9lMm9Eb2MueG1srFTbbtswDH0fsH8Q9O76MjmJjTpFm8TDgO4C&#10;tPsAxZJjYbbkSUqcrti/j5KTNG0xYNjmB0MSqUMe8oiXV/uuRTuujVCywPFFhBGXlWJCbgr89b4M&#10;ZhgZSyWjrZK8wA/c4Kv52zeXQ5/zRDWqZVwjAJEmH/oCN9b2eRiaquEdNReq5xKMtdIdtbDVm5Bp&#10;OgB614ZJFE3CQWnWa1VxY+B0ORrx3OPXNa/s57o23KK2wJCb9X/t/2v3D+eXNN9o2jeiOqRB/yKL&#10;jgoJQU9QS2op2mrxCqoTlVZG1faiUl2o6lpU3HMANnH0gs1dQ3vuuUBxTH8qk/l/sNWn3ReNBCtw&#10;gpGkHbTonu8tulF7RFx1ht7k4HTXg5vdwzF02TM1/a2qvhkk1aKhcsOvtVZDwymD7GJ3Mzy7OuIY&#10;B7IePioGYejWKg+0r3XnSgfFQIAOXXo4dcalUsFhOomiaQSmCmzpNE5h7ULQ/Hi718a+56pDblFg&#10;DZ336HR3a+zoenRxwaQqRdvCOc1b+ewAMMcTiA1Xnc1l4Zv5mEXZaraakYAkk1VAIsaC63JBgkkZ&#10;T9Plu+VisYx/urgxyRvBGJcuzFFYMfmzxh0kPkriJC2jWsEcnEvJ6M160Wq0oyDs0n+Hgpy5hc/T&#10;8PUCLi8oxQmJbpIsKCezaUBqkgbZNJoFUZzdZJOIZGRZPqd0KyT/d0poKHCWJukopt9yi/z3mhvN&#10;O2FhdLSiK/Ds5ERzJ8GVZL61lop2XJ+VwqX/VApo97HRXrBOo6Na7X69BxSn4rViDyBdrUBZIEKY&#10;d7BolP6B0QCzo8Dm+5ZqjlH7QYL8s5gQN2z8hqTTBDb63LI+t1BZAVSBLUbjcmHHAbXttdg0EGl8&#10;cFJdw5OphVfzU1aHhwbzwZM6zDI3gM733utp4s5/AQAA//8DAFBLAwQUAAYACAAAACEAgCdAndoA&#10;AAAHAQAADwAAAGRycy9kb3ducmV2LnhtbEyPy07DMBBF90j8gzVI7KhNgCoNmVQIxBZEeUjdufE0&#10;iYjHUew24e8ZVnQ1j3t150y5nn2vjjTGLjDC9cKAIq6D67hB+Hh/vspBxWTZ2T4wIfxQhHV1flba&#10;woWJ3+i4SY2SEI6FRWhTGgqtY92St3ERBmLR9mH0Nsk4NtqNdpJw3+vMmKX2tmO50NqBHluqvzcH&#10;j/D5st9+3ZrX5snfDVOYjWa/0oiXF/PDPahEc/o3wx++oEMlTLtwYBdVjyCPJISbpVRR8zyTZie2&#10;TDa6KvUpf/ULAAD//wMAUEsBAi0AFAAGAAgAAAAhAOSZw8D7AAAA4QEAABMAAAAAAAAAAAAAAAAA&#10;AAAAAFtDb250ZW50X1R5cGVzXS54bWxQSwECLQAUAAYACAAAACEAI7Jq4dcAAACUAQAACwAAAAAA&#10;AAAAAAAAAAAsAQAAX3JlbHMvLnJlbHNQSwECLQAUAAYACAAAACEA6IEYO7MCAAC5BQAADgAAAAAA&#10;AAAAAAAAAAAsAgAAZHJzL2Uyb0RvYy54bWxQSwECLQAUAAYACAAAACEAgCdAndoAAAAHAQAADwAA&#10;AAAAAAAAAAAAAAALBQAAZHJzL2Rvd25yZXYueG1sUEsFBgAAAAAEAAQA8wAAABIGAAAAAA==&#10;" filled="f" stroked="f">
                <v:textbox>
                  <w:txbxContent>
                    <w:p w14:paraId="7CFC40EB" w14:textId="5BAB948B" w:rsidR="00F659A2" w:rsidRDefault="00F659A2" w:rsidP="00EA609D">
                      <w:pPr>
                        <w:rPr>
                          <w:rFonts w:ascii="Arial" w:hAnsi="Arial" w:cs="Arial"/>
                          <w:b/>
                          <w:i/>
                          <w:sz w:val="28"/>
                          <w:szCs w:val="28"/>
                        </w:rPr>
                      </w:pPr>
                      <w:r w:rsidRPr="00E528A0">
                        <w:rPr>
                          <w:rFonts w:ascii="Arial" w:hAnsi="Arial" w:cs="Arial"/>
                          <w:b/>
                          <w:i/>
                          <w:sz w:val="28"/>
                          <w:szCs w:val="28"/>
                        </w:rPr>
                        <w:t xml:space="preserve">Ground Water </w:t>
                      </w:r>
                      <w:r>
                        <w:rPr>
                          <w:rFonts w:ascii="Arial" w:hAnsi="Arial" w:cs="Arial"/>
                          <w:b/>
                          <w:i/>
                          <w:sz w:val="28"/>
                          <w:szCs w:val="28"/>
                        </w:rPr>
                        <w:t>Inventory, Monitoring &amp; Assessment</w:t>
                      </w:r>
                    </w:p>
                    <w:p w14:paraId="745367B0" w14:textId="77777777" w:rsidR="00F659A2" w:rsidRPr="00E528A0" w:rsidRDefault="00F659A2" w:rsidP="00EA609D">
                      <w:pPr>
                        <w:rPr>
                          <w:rFonts w:ascii="Arial" w:hAnsi="Arial" w:cs="Arial"/>
                          <w:b/>
                          <w:i/>
                          <w:sz w:val="28"/>
                          <w:szCs w:val="28"/>
                        </w:rPr>
                      </w:pPr>
                      <w:r>
                        <w:rPr>
                          <w:rFonts w:ascii="Arial" w:hAnsi="Arial" w:cs="Arial"/>
                          <w:b/>
                          <w:i/>
                          <w:sz w:val="28"/>
                          <w:szCs w:val="28"/>
                        </w:rPr>
                        <w:t>Technical Guide</w:t>
                      </w:r>
                      <w:r w:rsidRPr="00E528A0">
                        <w:rPr>
                          <w:rFonts w:ascii="Arial" w:hAnsi="Arial" w:cs="Arial"/>
                          <w:b/>
                          <w:i/>
                          <w:sz w:val="28"/>
                          <w:szCs w:val="28"/>
                        </w:rPr>
                        <w:t xml:space="preserve"> Development</w:t>
                      </w:r>
                    </w:p>
                    <w:p w14:paraId="3EBDAF91" w14:textId="77777777" w:rsidR="00F659A2" w:rsidRPr="00EA609D" w:rsidRDefault="00F659A2" w:rsidP="00EA609D">
                      <w:pPr>
                        <w:rPr>
                          <w:szCs w:val="28"/>
                        </w:rPr>
                      </w:pPr>
                    </w:p>
                  </w:txbxContent>
                </v:textbox>
              </v:shape>
            </w:pict>
          </mc:Fallback>
        </mc:AlternateContent>
      </w:r>
      <w:r w:rsidR="006D0A35" w:rsidRPr="00EF26B6">
        <w:rPr>
          <w:rFonts w:asciiTheme="minorHAnsi" w:hAnsiTheme="minorHAnsi"/>
          <w:noProof/>
          <w:sz w:val="28"/>
        </w:rPr>
        <w:drawing>
          <wp:inline distT="0" distB="0" distL="0" distR="0" wp14:anchorId="002291AC" wp14:editId="493B24B6">
            <wp:extent cx="5829300" cy="871128"/>
            <wp:effectExtent l="0" t="0" r="0" b="0"/>
            <wp:docPr id="1" name="Picture 1" descr="P909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9090073"/>
                    <pic:cNvPicPr>
                      <a:picLocks noChangeAspect="1" noChangeArrowheads="1"/>
                    </pic:cNvPicPr>
                  </pic:nvPicPr>
                  <pic:blipFill>
                    <a:blip r:embed="rId9" cstate="print">
                      <a:lum bright="52000" contrast="20000"/>
                      <a:alphaModFix amt="77000"/>
                    </a:blip>
                    <a:srcRect/>
                    <a:stretch>
                      <a:fillRect/>
                    </a:stretch>
                  </pic:blipFill>
                  <pic:spPr bwMode="auto">
                    <a:xfrm>
                      <a:off x="0" y="0"/>
                      <a:ext cx="5829300" cy="871128"/>
                    </a:xfrm>
                    <a:prstGeom prst="rect">
                      <a:avLst/>
                    </a:prstGeom>
                    <a:noFill/>
                    <a:ln w="9525">
                      <a:noFill/>
                      <a:miter lim="800000"/>
                      <a:headEnd/>
                      <a:tailEnd/>
                    </a:ln>
                  </pic:spPr>
                </pic:pic>
              </a:graphicData>
            </a:graphic>
          </wp:inline>
        </w:drawing>
      </w:r>
    </w:p>
    <w:p w14:paraId="2EB7094A" w14:textId="40E6AC85" w:rsidR="00E748E4" w:rsidRPr="00EF26B6" w:rsidRDefault="00E748E4" w:rsidP="00E748E4">
      <w:pPr>
        <w:spacing w:before="240"/>
        <w:rPr>
          <w:rFonts w:asciiTheme="minorHAnsi" w:hAnsiTheme="minorHAnsi" w:cs="Arial"/>
          <w:sz w:val="22"/>
          <w:szCs w:val="22"/>
        </w:rPr>
      </w:pPr>
      <w:r w:rsidRPr="00EF26B6">
        <w:rPr>
          <w:rFonts w:asciiTheme="minorHAnsi" w:hAnsiTheme="minorHAnsi" w:cs="Arial"/>
          <w:b/>
          <w:sz w:val="22"/>
          <w:szCs w:val="22"/>
        </w:rPr>
        <w:t>Date:</w:t>
      </w:r>
      <w:r w:rsidRPr="00EF26B6">
        <w:rPr>
          <w:rFonts w:asciiTheme="minorHAnsi" w:hAnsiTheme="minorHAnsi" w:cs="Arial"/>
          <w:sz w:val="22"/>
          <w:szCs w:val="22"/>
        </w:rPr>
        <w:t xml:space="preserve"> </w:t>
      </w:r>
      <w:r w:rsidR="009B5F4F" w:rsidRPr="00EF26B6">
        <w:rPr>
          <w:rFonts w:asciiTheme="minorHAnsi" w:hAnsiTheme="minorHAnsi" w:cs="Arial"/>
          <w:sz w:val="22"/>
          <w:szCs w:val="22"/>
        </w:rPr>
        <w:t>October</w:t>
      </w:r>
      <w:r w:rsidRPr="00EF26B6">
        <w:rPr>
          <w:rFonts w:asciiTheme="minorHAnsi" w:hAnsiTheme="minorHAnsi" w:cs="Arial"/>
          <w:sz w:val="22"/>
          <w:szCs w:val="22"/>
        </w:rPr>
        <w:t xml:space="preserve"> </w:t>
      </w:r>
      <w:r w:rsidR="00BD607C" w:rsidRPr="00EF26B6">
        <w:rPr>
          <w:rFonts w:asciiTheme="minorHAnsi" w:hAnsiTheme="minorHAnsi" w:cs="Arial"/>
          <w:sz w:val="22"/>
          <w:szCs w:val="22"/>
        </w:rPr>
        <w:t>3</w:t>
      </w:r>
      <w:r w:rsidR="009B5F4F" w:rsidRPr="00EF26B6">
        <w:rPr>
          <w:rFonts w:asciiTheme="minorHAnsi" w:hAnsiTheme="minorHAnsi" w:cs="Arial"/>
          <w:sz w:val="22"/>
          <w:szCs w:val="22"/>
        </w:rPr>
        <w:t>1</w:t>
      </w:r>
      <w:r w:rsidRPr="00EF26B6">
        <w:rPr>
          <w:rFonts w:asciiTheme="minorHAnsi" w:hAnsiTheme="minorHAnsi" w:cs="Arial"/>
          <w:sz w:val="22"/>
          <w:szCs w:val="22"/>
        </w:rPr>
        <w:t>, 201</w:t>
      </w:r>
      <w:r w:rsidR="00BD607C" w:rsidRPr="00EF26B6">
        <w:rPr>
          <w:rFonts w:asciiTheme="minorHAnsi" w:hAnsiTheme="minorHAnsi" w:cs="Arial"/>
          <w:sz w:val="22"/>
          <w:szCs w:val="22"/>
        </w:rPr>
        <w:t>3</w:t>
      </w:r>
      <w:r w:rsidRPr="00EF26B6">
        <w:rPr>
          <w:rFonts w:asciiTheme="minorHAnsi" w:hAnsiTheme="minorHAnsi" w:cs="Arial"/>
          <w:sz w:val="22"/>
          <w:szCs w:val="22"/>
        </w:rPr>
        <w:t xml:space="preserve"> (</w:t>
      </w:r>
      <w:r w:rsidR="00BD607C" w:rsidRPr="00EF26B6">
        <w:rPr>
          <w:rFonts w:asciiTheme="minorHAnsi" w:hAnsiTheme="minorHAnsi" w:cs="Arial"/>
          <w:sz w:val="22"/>
          <w:szCs w:val="22"/>
        </w:rPr>
        <w:t>DRAFT</w:t>
      </w:r>
      <w:r w:rsidRPr="00EF26B6">
        <w:rPr>
          <w:rFonts w:asciiTheme="minorHAnsi" w:hAnsiTheme="minorHAnsi" w:cs="Arial"/>
          <w:sz w:val="22"/>
          <w:szCs w:val="22"/>
        </w:rPr>
        <w:t>)</w:t>
      </w:r>
    </w:p>
    <w:p w14:paraId="3EEC33D9" w14:textId="77777777" w:rsidR="00E748E4" w:rsidRPr="00EF26B6" w:rsidRDefault="00E748E4" w:rsidP="00E748E4">
      <w:pPr>
        <w:rPr>
          <w:rFonts w:asciiTheme="minorHAnsi" w:hAnsiTheme="minorHAnsi" w:cs="Arial"/>
          <w:sz w:val="22"/>
          <w:szCs w:val="22"/>
        </w:rPr>
      </w:pPr>
      <w:r w:rsidRPr="00EF26B6">
        <w:rPr>
          <w:rFonts w:asciiTheme="minorHAnsi" w:hAnsiTheme="minorHAnsi" w:cs="Arial"/>
          <w:b/>
          <w:sz w:val="22"/>
          <w:szCs w:val="22"/>
        </w:rPr>
        <w:t>Subject:</w:t>
      </w:r>
      <w:r w:rsidRPr="00EF26B6">
        <w:rPr>
          <w:rFonts w:asciiTheme="minorHAnsi" w:hAnsiTheme="minorHAnsi" w:cs="Arial"/>
          <w:sz w:val="22"/>
          <w:szCs w:val="22"/>
        </w:rPr>
        <w:t xml:space="preserve"> Core Team Conference Call</w:t>
      </w:r>
    </w:p>
    <w:p w14:paraId="068DEF1E" w14:textId="68379FB0" w:rsidR="00E748E4" w:rsidRPr="00EF26B6" w:rsidRDefault="00E748E4" w:rsidP="00E748E4">
      <w:pPr>
        <w:rPr>
          <w:rFonts w:asciiTheme="minorHAnsi" w:hAnsiTheme="minorHAnsi" w:cs="Arial"/>
          <w:sz w:val="22"/>
          <w:szCs w:val="22"/>
        </w:rPr>
      </w:pPr>
      <w:r w:rsidRPr="00EF26B6">
        <w:rPr>
          <w:rFonts w:asciiTheme="minorHAnsi" w:hAnsiTheme="minorHAnsi" w:cs="Arial"/>
          <w:b/>
          <w:sz w:val="22"/>
          <w:szCs w:val="22"/>
        </w:rPr>
        <w:t>Participants:</w:t>
      </w:r>
      <w:r w:rsidRPr="00EF26B6">
        <w:rPr>
          <w:rFonts w:asciiTheme="minorHAnsi" w:hAnsiTheme="minorHAnsi" w:cs="Arial"/>
          <w:sz w:val="22"/>
          <w:szCs w:val="22"/>
        </w:rPr>
        <w:t xml:space="preserve"> </w:t>
      </w:r>
      <w:r w:rsidR="00D57E09" w:rsidRPr="00EF26B6">
        <w:rPr>
          <w:rFonts w:asciiTheme="minorHAnsi" w:hAnsiTheme="minorHAnsi" w:cs="Arial"/>
          <w:sz w:val="22"/>
          <w:szCs w:val="22"/>
        </w:rPr>
        <w:t xml:space="preserve">Allison Aldous, </w:t>
      </w:r>
      <w:r w:rsidR="00464FA1" w:rsidRPr="00EF26B6">
        <w:rPr>
          <w:rFonts w:asciiTheme="minorHAnsi" w:hAnsiTheme="minorHAnsi" w:cs="Arial"/>
          <w:sz w:val="22"/>
          <w:szCs w:val="22"/>
        </w:rPr>
        <w:t xml:space="preserve">Chris Carlson, </w:t>
      </w:r>
      <w:r w:rsidR="00D57E09" w:rsidRPr="00EF26B6">
        <w:rPr>
          <w:rFonts w:asciiTheme="minorHAnsi" w:hAnsiTheme="minorHAnsi" w:cs="Arial"/>
          <w:sz w:val="22"/>
          <w:szCs w:val="22"/>
        </w:rPr>
        <w:t xml:space="preserve">Kate </w:t>
      </w:r>
      <w:proofErr w:type="spellStart"/>
      <w:r w:rsidR="00D57E09" w:rsidRPr="00EF26B6">
        <w:rPr>
          <w:rFonts w:asciiTheme="minorHAnsi" w:hAnsiTheme="minorHAnsi" w:cs="Arial"/>
          <w:sz w:val="22"/>
          <w:szCs w:val="22"/>
        </w:rPr>
        <w:t>Dwire</w:t>
      </w:r>
      <w:proofErr w:type="spellEnd"/>
      <w:r w:rsidR="00D57E09" w:rsidRPr="00EF26B6">
        <w:rPr>
          <w:rFonts w:asciiTheme="minorHAnsi" w:hAnsiTheme="minorHAnsi" w:cs="Arial"/>
          <w:sz w:val="22"/>
          <w:szCs w:val="22"/>
        </w:rPr>
        <w:t xml:space="preserve">, </w:t>
      </w:r>
      <w:r w:rsidR="00464FA1" w:rsidRPr="00EF26B6">
        <w:rPr>
          <w:rFonts w:asciiTheme="minorHAnsi" w:hAnsiTheme="minorHAnsi" w:cs="Arial"/>
          <w:sz w:val="22"/>
          <w:szCs w:val="22"/>
        </w:rPr>
        <w:t xml:space="preserve">Casey Giffen, </w:t>
      </w:r>
      <w:r w:rsidRPr="00EF26B6">
        <w:rPr>
          <w:rFonts w:asciiTheme="minorHAnsi" w:hAnsiTheme="minorHAnsi" w:cs="Arial"/>
          <w:sz w:val="22"/>
          <w:szCs w:val="22"/>
        </w:rPr>
        <w:t xml:space="preserve">Joe Gurrieri, </w:t>
      </w:r>
      <w:r w:rsidR="00D57E09" w:rsidRPr="00EF26B6">
        <w:rPr>
          <w:rFonts w:asciiTheme="minorHAnsi" w:hAnsiTheme="minorHAnsi" w:cs="Arial"/>
          <w:sz w:val="22"/>
          <w:szCs w:val="22"/>
        </w:rPr>
        <w:t xml:space="preserve">Pete Kilbourne, </w:t>
      </w:r>
      <w:r w:rsidRPr="00EF26B6">
        <w:rPr>
          <w:rFonts w:asciiTheme="minorHAnsi" w:hAnsiTheme="minorHAnsi" w:cs="Arial"/>
          <w:sz w:val="22"/>
          <w:szCs w:val="22"/>
        </w:rPr>
        <w:t>Megan Lang,</w:t>
      </w:r>
      <w:r w:rsidR="00F55097" w:rsidRPr="00EF26B6">
        <w:rPr>
          <w:rFonts w:asciiTheme="minorHAnsi" w:hAnsiTheme="minorHAnsi" w:cs="Arial"/>
          <w:sz w:val="22"/>
          <w:szCs w:val="22"/>
        </w:rPr>
        <w:t xml:space="preserve"> </w:t>
      </w:r>
      <w:r w:rsidR="00D57E09" w:rsidRPr="00EF26B6">
        <w:rPr>
          <w:rFonts w:asciiTheme="minorHAnsi" w:hAnsiTheme="minorHAnsi" w:cs="Arial"/>
          <w:sz w:val="22"/>
          <w:szCs w:val="22"/>
        </w:rPr>
        <w:t xml:space="preserve">Andy </w:t>
      </w:r>
      <w:proofErr w:type="spellStart"/>
      <w:r w:rsidR="00D57E09" w:rsidRPr="00EF26B6">
        <w:rPr>
          <w:rFonts w:asciiTheme="minorHAnsi" w:hAnsiTheme="minorHAnsi" w:cs="Arial"/>
          <w:sz w:val="22"/>
          <w:szCs w:val="22"/>
        </w:rPr>
        <w:t>Rorick</w:t>
      </w:r>
      <w:proofErr w:type="spellEnd"/>
      <w:r w:rsidR="00D57E09" w:rsidRPr="00EF26B6">
        <w:rPr>
          <w:rFonts w:asciiTheme="minorHAnsi" w:hAnsiTheme="minorHAnsi" w:cs="Arial"/>
          <w:sz w:val="22"/>
          <w:szCs w:val="22"/>
        </w:rPr>
        <w:t xml:space="preserve">, </w:t>
      </w:r>
      <w:r w:rsidR="00464FA1" w:rsidRPr="00EF26B6">
        <w:rPr>
          <w:rFonts w:asciiTheme="minorHAnsi" w:hAnsiTheme="minorHAnsi" w:cs="Arial"/>
          <w:sz w:val="22"/>
          <w:szCs w:val="22"/>
        </w:rPr>
        <w:t xml:space="preserve">and </w:t>
      </w:r>
      <w:r w:rsidR="00CE7AAA" w:rsidRPr="00EF26B6">
        <w:rPr>
          <w:rFonts w:asciiTheme="minorHAnsi" w:hAnsiTheme="minorHAnsi" w:cs="Arial"/>
          <w:sz w:val="22"/>
          <w:szCs w:val="22"/>
        </w:rPr>
        <w:t>Steve Solem</w:t>
      </w:r>
    </w:p>
    <w:p w14:paraId="0E1AF8DD" w14:textId="46D6791A" w:rsidR="00E748E4" w:rsidRPr="00EF26B6" w:rsidRDefault="00E748E4" w:rsidP="00E748E4">
      <w:pPr>
        <w:spacing w:after="240"/>
        <w:rPr>
          <w:rFonts w:asciiTheme="minorHAnsi" w:hAnsiTheme="minorHAnsi" w:cs="Arial"/>
          <w:sz w:val="22"/>
          <w:szCs w:val="22"/>
        </w:rPr>
      </w:pPr>
      <w:r w:rsidRPr="00EF26B6">
        <w:rPr>
          <w:rFonts w:asciiTheme="minorHAnsi" w:hAnsiTheme="minorHAnsi" w:cs="Arial"/>
          <w:b/>
          <w:sz w:val="22"/>
          <w:szCs w:val="22"/>
        </w:rPr>
        <w:t>Unable to Join Call:</w:t>
      </w:r>
      <w:r w:rsidRPr="00EF26B6">
        <w:rPr>
          <w:rFonts w:asciiTheme="minorHAnsi" w:hAnsiTheme="minorHAnsi" w:cs="Arial"/>
          <w:sz w:val="22"/>
          <w:szCs w:val="22"/>
        </w:rPr>
        <w:t xml:space="preserve"> </w:t>
      </w:r>
      <w:proofErr w:type="spellStart"/>
      <w:r w:rsidR="00D57E09" w:rsidRPr="00EF26B6">
        <w:rPr>
          <w:rFonts w:asciiTheme="minorHAnsi" w:hAnsiTheme="minorHAnsi" w:cs="Arial"/>
          <w:sz w:val="22"/>
          <w:szCs w:val="22"/>
        </w:rPr>
        <w:t>Devendra</w:t>
      </w:r>
      <w:proofErr w:type="spellEnd"/>
      <w:r w:rsidR="00D57E09" w:rsidRPr="00EF26B6">
        <w:rPr>
          <w:rFonts w:asciiTheme="minorHAnsi" w:hAnsiTheme="minorHAnsi" w:cs="Arial"/>
          <w:sz w:val="22"/>
          <w:szCs w:val="22"/>
        </w:rPr>
        <w:t xml:space="preserve"> </w:t>
      </w:r>
      <w:proofErr w:type="spellStart"/>
      <w:r w:rsidR="00D57E09" w:rsidRPr="00EF26B6">
        <w:rPr>
          <w:rFonts w:asciiTheme="minorHAnsi" w:hAnsiTheme="minorHAnsi" w:cs="Arial"/>
          <w:sz w:val="22"/>
          <w:szCs w:val="22"/>
        </w:rPr>
        <w:t>Amatya</w:t>
      </w:r>
      <w:proofErr w:type="spellEnd"/>
      <w:r w:rsidR="00D57E09" w:rsidRPr="00EF26B6">
        <w:rPr>
          <w:rFonts w:asciiTheme="minorHAnsi" w:hAnsiTheme="minorHAnsi" w:cs="Arial"/>
          <w:sz w:val="22"/>
          <w:szCs w:val="22"/>
        </w:rPr>
        <w:t xml:space="preserve">, Troy Thompson, </w:t>
      </w:r>
      <w:r w:rsidR="00DE7EB8" w:rsidRPr="00EF26B6">
        <w:rPr>
          <w:rFonts w:asciiTheme="minorHAnsi" w:hAnsiTheme="minorHAnsi" w:cs="Arial"/>
          <w:sz w:val="22"/>
          <w:szCs w:val="22"/>
        </w:rPr>
        <w:t>and Linda Spencer.</w:t>
      </w:r>
    </w:p>
    <w:p w14:paraId="3BC9FB25" w14:textId="77777777" w:rsidR="00E748E4" w:rsidRPr="00EF26B6" w:rsidRDefault="00E748E4" w:rsidP="00E748E4">
      <w:pPr>
        <w:pBdr>
          <w:top w:val="double" w:sz="4" w:space="1" w:color="auto"/>
          <w:bottom w:val="double" w:sz="4" w:space="1" w:color="auto"/>
        </w:pBdr>
        <w:jc w:val="center"/>
        <w:rPr>
          <w:rStyle w:val="Strong"/>
          <w:rFonts w:asciiTheme="minorHAnsi" w:hAnsiTheme="minorHAnsi" w:cs="Arial"/>
          <w:sz w:val="22"/>
          <w:szCs w:val="22"/>
        </w:rPr>
      </w:pPr>
      <w:r w:rsidRPr="00EF26B6">
        <w:rPr>
          <w:rStyle w:val="Strong"/>
          <w:rFonts w:asciiTheme="minorHAnsi" w:hAnsiTheme="minorHAnsi" w:cs="Arial"/>
          <w:sz w:val="22"/>
          <w:szCs w:val="22"/>
        </w:rPr>
        <w:t>Discussion Topics and Action Items</w:t>
      </w:r>
    </w:p>
    <w:p w14:paraId="078D8712" w14:textId="17A1CA3E" w:rsidR="00BD607C" w:rsidRPr="00EF26B6" w:rsidRDefault="00E748E4" w:rsidP="00BD607C">
      <w:pPr>
        <w:spacing w:before="240"/>
        <w:jc w:val="center"/>
        <w:rPr>
          <w:rFonts w:asciiTheme="minorHAnsi" w:hAnsiTheme="minorHAnsi" w:cs="Arial"/>
          <w:b/>
          <w:bCs/>
          <w:sz w:val="22"/>
          <w:szCs w:val="22"/>
          <w:highlight w:val="yellow"/>
        </w:rPr>
      </w:pPr>
      <w:r w:rsidRPr="00EF26B6">
        <w:rPr>
          <w:rStyle w:val="Strong"/>
          <w:rFonts w:asciiTheme="minorHAnsi" w:hAnsiTheme="minorHAnsi" w:cs="Arial"/>
          <w:sz w:val="22"/>
          <w:szCs w:val="22"/>
          <w:highlight w:val="yellow"/>
        </w:rPr>
        <w:t>Next Core Team Call on</w:t>
      </w:r>
      <w:r w:rsidR="00D57E09" w:rsidRPr="00EF26B6">
        <w:rPr>
          <w:rStyle w:val="Strong"/>
          <w:rFonts w:asciiTheme="minorHAnsi" w:hAnsiTheme="minorHAnsi" w:cs="Arial"/>
          <w:sz w:val="22"/>
          <w:szCs w:val="22"/>
          <w:highlight w:val="yellow"/>
        </w:rPr>
        <w:t xml:space="preserve"> January 9</w:t>
      </w:r>
      <w:r w:rsidR="00D57E09" w:rsidRPr="00EF26B6">
        <w:rPr>
          <w:rFonts w:asciiTheme="minorHAnsi" w:hAnsiTheme="minorHAnsi" w:cs="Arial"/>
          <w:b/>
          <w:bCs/>
          <w:sz w:val="22"/>
          <w:szCs w:val="22"/>
          <w:highlight w:val="yellow"/>
        </w:rPr>
        <w:t>, 2014</w:t>
      </w:r>
      <w:r w:rsidR="00BD607C" w:rsidRPr="00EF26B6">
        <w:rPr>
          <w:rFonts w:asciiTheme="minorHAnsi" w:hAnsiTheme="minorHAnsi" w:cs="Arial"/>
          <w:b/>
          <w:bCs/>
          <w:sz w:val="22"/>
          <w:szCs w:val="22"/>
          <w:highlight w:val="yellow"/>
        </w:rPr>
        <w:t xml:space="preserve"> @ 2:00 ET/12:00 MST</w:t>
      </w:r>
    </w:p>
    <w:p w14:paraId="003F049E" w14:textId="2A008BB5" w:rsidR="00E748E4" w:rsidRPr="00EF26B6" w:rsidRDefault="00E748E4" w:rsidP="00F7210F">
      <w:pPr>
        <w:pStyle w:val="Heading1"/>
        <w:shd w:val="clear" w:color="auto" w:fill="C6D9F1" w:themeFill="text2" w:themeFillTint="33"/>
        <w:tabs>
          <w:tab w:val="clear" w:pos="450"/>
          <w:tab w:val="num" w:pos="360"/>
        </w:tabs>
        <w:ind w:left="360"/>
        <w:rPr>
          <w:rStyle w:val="Strong"/>
          <w:b/>
          <w:bCs w:val="0"/>
          <w:color w:val="auto"/>
        </w:rPr>
      </w:pPr>
      <w:r w:rsidRPr="00EF26B6">
        <w:rPr>
          <w:rStyle w:val="Strong"/>
          <w:b/>
          <w:bCs w:val="0"/>
          <w:color w:val="auto"/>
        </w:rPr>
        <w:t>Project Overview</w:t>
      </w:r>
      <w:r w:rsidR="009B5F4F" w:rsidRPr="00EF26B6">
        <w:rPr>
          <w:b w:val="0"/>
          <w:bCs/>
          <w:color w:val="auto"/>
        </w:rPr>
        <w:t xml:space="preserve"> </w:t>
      </w:r>
      <w:r w:rsidR="009B5F4F" w:rsidRPr="00EF26B6">
        <w:rPr>
          <w:bCs/>
          <w:color w:val="auto"/>
        </w:rPr>
        <w:t>Project Schedule</w:t>
      </w:r>
    </w:p>
    <w:p w14:paraId="02F3494F" w14:textId="1ADEC216" w:rsidR="00E748E4" w:rsidRPr="00EF26B6" w:rsidRDefault="00E748E4" w:rsidP="00E748E4">
      <w:pPr>
        <w:pStyle w:val="ListParagraph"/>
        <w:spacing w:after="200"/>
        <w:ind w:left="0"/>
        <w:contextualSpacing w:val="0"/>
        <w:rPr>
          <w:rStyle w:val="Strong"/>
          <w:rFonts w:asciiTheme="minorHAnsi" w:hAnsiTheme="minorHAnsi" w:cs="Arial"/>
          <w:b w:val="0"/>
          <w:sz w:val="22"/>
          <w:szCs w:val="22"/>
        </w:rPr>
      </w:pPr>
      <w:r w:rsidRPr="00EF26B6">
        <w:rPr>
          <w:rStyle w:val="Strong"/>
          <w:rFonts w:asciiTheme="minorHAnsi" w:hAnsiTheme="minorHAnsi" w:cs="Arial"/>
          <w:b w:val="0"/>
          <w:sz w:val="22"/>
          <w:szCs w:val="22"/>
        </w:rPr>
        <w:t xml:space="preserve">Steve Solem discussed key tasks coming up in the project schedule </w:t>
      </w:r>
      <w:r w:rsidR="00F7210F" w:rsidRPr="00EF26B6">
        <w:rPr>
          <w:rStyle w:val="Strong"/>
          <w:rFonts w:asciiTheme="minorHAnsi" w:hAnsiTheme="minorHAnsi" w:cs="Arial"/>
          <w:b w:val="0"/>
          <w:sz w:val="22"/>
          <w:szCs w:val="22"/>
        </w:rPr>
        <w:t xml:space="preserve">(10/18/13) </w:t>
      </w:r>
      <w:r w:rsidRPr="00EF26B6">
        <w:rPr>
          <w:rStyle w:val="Strong"/>
          <w:rFonts w:asciiTheme="minorHAnsi" w:hAnsiTheme="minorHAnsi" w:cs="Arial"/>
          <w:b w:val="0"/>
          <w:sz w:val="22"/>
          <w:szCs w:val="22"/>
        </w:rPr>
        <w:t>and their status:</w:t>
      </w:r>
    </w:p>
    <w:p w14:paraId="4C174EE2" w14:textId="5FECCF6F" w:rsidR="00BD607C" w:rsidRPr="00EF26B6" w:rsidRDefault="00464FA1" w:rsidP="00D57E09">
      <w:pPr>
        <w:pStyle w:val="ListParagraph"/>
        <w:numPr>
          <w:ilvl w:val="0"/>
          <w:numId w:val="2"/>
        </w:numPr>
        <w:spacing w:after="200"/>
        <w:contextualSpacing w:val="0"/>
        <w:rPr>
          <w:rStyle w:val="Strong"/>
          <w:rFonts w:asciiTheme="minorHAnsi" w:hAnsiTheme="minorHAnsi" w:cs="Arial"/>
          <w:b w:val="0"/>
          <w:sz w:val="22"/>
          <w:szCs w:val="22"/>
        </w:rPr>
      </w:pPr>
      <w:r w:rsidRPr="00EF26B6">
        <w:rPr>
          <w:rStyle w:val="Strong"/>
          <w:rFonts w:asciiTheme="minorHAnsi" w:hAnsiTheme="minorHAnsi" w:cs="Arial"/>
          <w:b w:val="0"/>
          <w:sz w:val="22"/>
          <w:szCs w:val="22"/>
        </w:rPr>
        <w:t>The next major task is the u</w:t>
      </w:r>
      <w:r w:rsidR="00D57E09" w:rsidRPr="00EF26B6">
        <w:rPr>
          <w:rStyle w:val="Strong"/>
          <w:rFonts w:asciiTheme="minorHAnsi" w:hAnsiTheme="minorHAnsi" w:cs="Arial"/>
          <w:b w:val="0"/>
          <w:sz w:val="22"/>
          <w:szCs w:val="22"/>
        </w:rPr>
        <w:t xml:space="preserve">pcoming </w:t>
      </w:r>
      <w:r w:rsidRPr="00EF26B6">
        <w:rPr>
          <w:rStyle w:val="Strong"/>
          <w:rFonts w:asciiTheme="minorHAnsi" w:hAnsiTheme="minorHAnsi" w:cs="Arial"/>
          <w:b w:val="0"/>
          <w:sz w:val="22"/>
          <w:szCs w:val="22"/>
        </w:rPr>
        <w:t>Internal FS Review</w:t>
      </w:r>
      <w:r w:rsidR="00D57E09" w:rsidRPr="00EF26B6">
        <w:rPr>
          <w:rStyle w:val="Strong"/>
          <w:rFonts w:asciiTheme="minorHAnsi" w:hAnsiTheme="minorHAnsi" w:cs="Arial"/>
          <w:b w:val="0"/>
          <w:sz w:val="22"/>
          <w:szCs w:val="22"/>
        </w:rPr>
        <w:t xml:space="preserve"> </w:t>
      </w:r>
      <w:r w:rsidRPr="00EF26B6">
        <w:rPr>
          <w:rStyle w:val="Strong"/>
          <w:rFonts w:asciiTheme="minorHAnsi" w:hAnsiTheme="minorHAnsi" w:cs="Arial"/>
          <w:b w:val="0"/>
          <w:sz w:val="22"/>
          <w:szCs w:val="22"/>
        </w:rPr>
        <w:t xml:space="preserve">(Task 4.60) </w:t>
      </w:r>
      <w:r w:rsidR="00D57E09" w:rsidRPr="00EF26B6">
        <w:rPr>
          <w:rStyle w:val="Strong"/>
          <w:rFonts w:asciiTheme="minorHAnsi" w:hAnsiTheme="minorHAnsi" w:cs="Arial"/>
          <w:b w:val="0"/>
          <w:sz w:val="22"/>
          <w:szCs w:val="22"/>
        </w:rPr>
        <w:t xml:space="preserve">and Partner/Affiliate Review </w:t>
      </w:r>
      <w:r w:rsidRPr="00EF26B6">
        <w:rPr>
          <w:rStyle w:val="Strong"/>
          <w:rFonts w:asciiTheme="minorHAnsi" w:hAnsiTheme="minorHAnsi" w:cs="Arial"/>
          <w:b w:val="0"/>
          <w:sz w:val="22"/>
          <w:szCs w:val="22"/>
        </w:rPr>
        <w:t>(Task 4.70)</w:t>
      </w:r>
      <w:r w:rsidR="00D57E09" w:rsidRPr="00EF26B6">
        <w:rPr>
          <w:rStyle w:val="Strong"/>
          <w:rFonts w:asciiTheme="minorHAnsi" w:hAnsiTheme="minorHAnsi" w:cs="Arial"/>
          <w:b w:val="0"/>
          <w:sz w:val="22"/>
          <w:szCs w:val="22"/>
        </w:rPr>
        <w:t xml:space="preserve">. </w:t>
      </w:r>
      <w:r w:rsidRPr="00EF26B6">
        <w:rPr>
          <w:rStyle w:val="Strong"/>
          <w:rFonts w:asciiTheme="minorHAnsi" w:hAnsiTheme="minorHAnsi" w:cs="Arial"/>
          <w:b w:val="0"/>
          <w:sz w:val="22"/>
          <w:szCs w:val="22"/>
        </w:rPr>
        <w:t>R</w:t>
      </w:r>
      <w:r w:rsidR="00D57E09" w:rsidRPr="00EF26B6">
        <w:rPr>
          <w:rStyle w:val="Strong"/>
          <w:rFonts w:asciiTheme="minorHAnsi" w:hAnsiTheme="minorHAnsi" w:cs="Arial"/>
          <w:b w:val="0"/>
          <w:sz w:val="22"/>
          <w:szCs w:val="22"/>
        </w:rPr>
        <w:t>eview</w:t>
      </w:r>
      <w:r w:rsidRPr="00EF26B6">
        <w:rPr>
          <w:rStyle w:val="Strong"/>
          <w:rFonts w:asciiTheme="minorHAnsi" w:hAnsiTheme="minorHAnsi" w:cs="Arial"/>
          <w:b w:val="0"/>
          <w:sz w:val="22"/>
          <w:szCs w:val="22"/>
        </w:rPr>
        <w:t xml:space="preserve">s </w:t>
      </w:r>
      <w:r w:rsidR="00F7210F" w:rsidRPr="00EF26B6">
        <w:rPr>
          <w:rStyle w:val="Strong"/>
          <w:rFonts w:asciiTheme="minorHAnsi" w:hAnsiTheme="minorHAnsi" w:cs="Arial"/>
          <w:b w:val="0"/>
          <w:sz w:val="22"/>
          <w:szCs w:val="22"/>
        </w:rPr>
        <w:t xml:space="preserve">are currently scheduled to </w:t>
      </w:r>
      <w:r w:rsidRPr="00EF26B6">
        <w:rPr>
          <w:rStyle w:val="Strong"/>
          <w:rFonts w:asciiTheme="minorHAnsi" w:hAnsiTheme="minorHAnsi" w:cs="Arial"/>
          <w:b w:val="0"/>
          <w:sz w:val="22"/>
          <w:szCs w:val="22"/>
        </w:rPr>
        <w:t>begin</w:t>
      </w:r>
      <w:r w:rsidR="00D57E09" w:rsidRPr="00EF26B6">
        <w:rPr>
          <w:rStyle w:val="Strong"/>
          <w:rFonts w:asciiTheme="minorHAnsi" w:hAnsiTheme="minorHAnsi" w:cs="Arial"/>
          <w:b w:val="0"/>
          <w:sz w:val="22"/>
          <w:szCs w:val="22"/>
        </w:rPr>
        <w:t xml:space="preserve"> on January 10, 2014</w:t>
      </w:r>
      <w:r w:rsidRPr="00EF26B6">
        <w:rPr>
          <w:rStyle w:val="Strong"/>
          <w:rFonts w:asciiTheme="minorHAnsi" w:hAnsiTheme="minorHAnsi" w:cs="Arial"/>
          <w:b w:val="0"/>
          <w:sz w:val="22"/>
          <w:szCs w:val="22"/>
        </w:rPr>
        <w:t xml:space="preserve"> and conclude</w:t>
      </w:r>
      <w:r w:rsidR="00D57E09" w:rsidRPr="00EF26B6">
        <w:rPr>
          <w:rStyle w:val="Strong"/>
          <w:rFonts w:asciiTheme="minorHAnsi" w:hAnsiTheme="minorHAnsi" w:cs="Arial"/>
          <w:b w:val="0"/>
          <w:sz w:val="22"/>
          <w:szCs w:val="22"/>
        </w:rPr>
        <w:t xml:space="preserve"> on March 7, 2014.</w:t>
      </w:r>
    </w:p>
    <w:p w14:paraId="59ED193B" w14:textId="03DBDC03" w:rsidR="00D57E09" w:rsidRPr="00EF26B6" w:rsidRDefault="00F7210F" w:rsidP="00FE1A97">
      <w:pPr>
        <w:pStyle w:val="ListParagraph"/>
        <w:numPr>
          <w:ilvl w:val="0"/>
          <w:numId w:val="2"/>
        </w:numPr>
        <w:spacing w:after="200"/>
        <w:contextualSpacing w:val="0"/>
        <w:rPr>
          <w:rStyle w:val="Strong"/>
          <w:rFonts w:asciiTheme="minorHAnsi" w:hAnsiTheme="minorHAnsi" w:cs="Arial"/>
          <w:b w:val="0"/>
          <w:sz w:val="22"/>
          <w:szCs w:val="22"/>
        </w:rPr>
      </w:pPr>
      <w:r w:rsidRPr="00EF26B6">
        <w:rPr>
          <w:rStyle w:val="Strong"/>
          <w:rFonts w:asciiTheme="minorHAnsi" w:hAnsiTheme="minorHAnsi" w:cs="Arial"/>
          <w:b w:val="0"/>
          <w:sz w:val="22"/>
          <w:szCs w:val="22"/>
        </w:rPr>
        <w:t>A</w:t>
      </w:r>
      <w:r w:rsidR="00464FA1" w:rsidRPr="00EF26B6">
        <w:rPr>
          <w:rStyle w:val="Strong"/>
          <w:rFonts w:asciiTheme="minorHAnsi" w:hAnsiTheme="minorHAnsi" w:cs="Arial"/>
          <w:b w:val="0"/>
          <w:sz w:val="22"/>
          <w:szCs w:val="22"/>
        </w:rPr>
        <w:t>djustments</w:t>
      </w:r>
      <w:r w:rsidR="00D57E09" w:rsidRPr="00EF26B6">
        <w:rPr>
          <w:rStyle w:val="Strong"/>
          <w:rFonts w:asciiTheme="minorHAnsi" w:hAnsiTheme="minorHAnsi" w:cs="Arial"/>
          <w:b w:val="0"/>
          <w:sz w:val="22"/>
          <w:szCs w:val="22"/>
        </w:rPr>
        <w:t xml:space="preserve"> </w:t>
      </w:r>
      <w:r w:rsidRPr="00EF26B6">
        <w:rPr>
          <w:rStyle w:val="Strong"/>
          <w:rFonts w:asciiTheme="minorHAnsi" w:hAnsiTheme="minorHAnsi" w:cs="Arial"/>
          <w:b w:val="0"/>
          <w:sz w:val="22"/>
          <w:szCs w:val="22"/>
        </w:rPr>
        <w:t xml:space="preserve">have been </w:t>
      </w:r>
      <w:r w:rsidR="00D57E09" w:rsidRPr="00EF26B6">
        <w:rPr>
          <w:rStyle w:val="Strong"/>
          <w:rFonts w:asciiTheme="minorHAnsi" w:hAnsiTheme="minorHAnsi" w:cs="Arial"/>
          <w:b w:val="0"/>
          <w:sz w:val="22"/>
          <w:szCs w:val="22"/>
        </w:rPr>
        <w:t>made to upcoming Core and Steering Team call dates</w:t>
      </w:r>
      <w:r w:rsidRPr="00EF26B6">
        <w:rPr>
          <w:rStyle w:val="Strong"/>
          <w:rFonts w:asciiTheme="minorHAnsi" w:hAnsiTheme="minorHAnsi" w:cs="Arial"/>
          <w:b w:val="0"/>
          <w:sz w:val="22"/>
          <w:szCs w:val="22"/>
        </w:rPr>
        <w:t xml:space="preserve"> as a result of the furlough and effects on our editing and review schedule</w:t>
      </w:r>
      <w:r w:rsidR="00D57E09" w:rsidRPr="00EF26B6">
        <w:rPr>
          <w:rStyle w:val="Strong"/>
          <w:rFonts w:asciiTheme="minorHAnsi" w:hAnsiTheme="minorHAnsi" w:cs="Arial"/>
          <w:b w:val="0"/>
          <w:sz w:val="22"/>
          <w:szCs w:val="22"/>
        </w:rPr>
        <w:t xml:space="preserve">. </w:t>
      </w:r>
      <w:r w:rsidR="00464FA1" w:rsidRPr="00EF26B6">
        <w:rPr>
          <w:rStyle w:val="Strong"/>
          <w:rFonts w:asciiTheme="minorHAnsi" w:hAnsiTheme="minorHAnsi" w:cs="Arial"/>
          <w:b w:val="0"/>
          <w:sz w:val="22"/>
          <w:szCs w:val="22"/>
        </w:rPr>
        <w:t>The n</w:t>
      </w:r>
      <w:r w:rsidR="00D57E09" w:rsidRPr="00EF26B6">
        <w:rPr>
          <w:rStyle w:val="Strong"/>
          <w:rFonts w:asciiTheme="minorHAnsi" w:hAnsiTheme="minorHAnsi" w:cs="Arial"/>
          <w:b w:val="0"/>
          <w:sz w:val="22"/>
          <w:szCs w:val="22"/>
        </w:rPr>
        <w:t xml:space="preserve">ext </w:t>
      </w:r>
      <w:r w:rsidR="00464FA1" w:rsidRPr="00EF26B6">
        <w:rPr>
          <w:rStyle w:val="Strong"/>
          <w:rFonts w:asciiTheme="minorHAnsi" w:hAnsiTheme="minorHAnsi" w:cs="Arial"/>
          <w:b w:val="0"/>
          <w:sz w:val="22"/>
          <w:szCs w:val="22"/>
        </w:rPr>
        <w:t xml:space="preserve">Core Team </w:t>
      </w:r>
      <w:r w:rsidR="00D57E09" w:rsidRPr="00EF26B6">
        <w:rPr>
          <w:rStyle w:val="Strong"/>
          <w:rFonts w:asciiTheme="minorHAnsi" w:hAnsiTheme="minorHAnsi" w:cs="Arial"/>
          <w:b w:val="0"/>
          <w:sz w:val="22"/>
          <w:szCs w:val="22"/>
        </w:rPr>
        <w:t xml:space="preserve">call is in January </w:t>
      </w:r>
      <w:r w:rsidRPr="00EF26B6">
        <w:rPr>
          <w:rStyle w:val="Strong"/>
          <w:rFonts w:asciiTheme="minorHAnsi" w:hAnsiTheme="minorHAnsi" w:cs="Arial"/>
          <w:b w:val="0"/>
          <w:sz w:val="22"/>
          <w:szCs w:val="22"/>
        </w:rPr>
        <w:t xml:space="preserve">9, </w:t>
      </w:r>
      <w:r w:rsidR="00464FA1" w:rsidRPr="00EF26B6">
        <w:rPr>
          <w:rStyle w:val="Strong"/>
          <w:rFonts w:asciiTheme="minorHAnsi" w:hAnsiTheme="minorHAnsi" w:cs="Arial"/>
          <w:b w:val="0"/>
          <w:sz w:val="22"/>
          <w:szCs w:val="22"/>
        </w:rPr>
        <w:t xml:space="preserve">2014 </w:t>
      </w:r>
      <w:r w:rsidR="00D57E09" w:rsidRPr="00EF26B6">
        <w:rPr>
          <w:rStyle w:val="Strong"/>
          <w:rFonts w:asciiTheme="minorHAnsi" w:hAnsiTheme="minorHAnsi" w:cs="Arial"/>
          <w:b w:val="0"/>
          <w:sz w:val="22"/>
          <w:szCs w:val="22"/>
        </w:rPr>
        <w:t xml:space="preserve">before </w:t>
      </w:r>
      <w:r w:rsidR="00464FA1" w:rsidRPr="00EF26B6">
        <w:rPr>
          <w:rStyle w:val="Strong"/>
          <w:rFonts w:asciiTheme="minorHAnsi" w:hAnsiTheme="minorHAnsi" w:cs="Arial"/>
          <w:b w:val="0"/>
          <w:sz w:val="22"/>
          <w:szCs w:val="22"/>
        </w:rPr>
        <w:t>the Internal/Partner R</w:t>
      </w:r>
      <w:r w:rsidR="00D57E09" w:rsidRPr="00EF26B6">
        <w:rPr>
          <w:rStyle w:val="Strong"/>
          <w:rFonts w:asciiTheme="minorHAnsi" w:hAnsiTheme="minorHAnsi" w:cs="Arial"/>
          <w:b w:val="0"/>
          <w:sz w:val="22"/>
          <w:szCs w:val="22"/>
        </w:rPr>
        <w:t>eview begins and will be used to go over the review materials</w:t>
      </w:r>
      <w:r w:rsidRPr="00EF26B6">
        <w:rPr>
          <w:rStyle w:val="Strong"/>
          <w:rFonts w:asciiTheme="minorHAnsi" w:hAnsiTheme="minorHAnsi" w:cs="Arial"/>
          <w:b w:val="0"/>
          <w:sz w:val="22"/>
          <w:szCs w:val="22"/>
        </w:rPr>
        <w:t>, process, and to provide information on how to advise reviewers if questions arise</w:t>
      </w:r>
      <w:r w:rsidR="00D57E09" w:rsidRPr="00EF26B6">
        <w:rPr>
          <w:rStyle w:val="Strong"/>
          <w:rFonts w:asciiTheme="minorHAnsi" w:hAnsiTheme="minorHAnsi" w:cs="Arial"/>
          <w:b w:val="0"/>
          <w:sz w:val="22"/>
          <w:szCs w:val="22"/>
        </w:rPr>
        <w:t>.</w:t>
      </w:r>
    </w:p>
    <w:p w14:paraId="268412AB" w14:textId="2081813D" w:rsidR="009B5F4F" w:rsidRPr="00EF26B6" w:rsidRDefault="009B5F4F" w:rsidP="00F7210F">
      <w:pPr>
        <w:pStyle w:val="Heading1"/>
        <w:shd w:val="clear" w:color="auto" w:fill="C6D9F1" w:themeFill="text2" w:themeFillTint="33"/>
        <w:tabs>
          <w:tab w:val="clear" w:pos="450"/>
          <w:tab w:val="num" w:pos="360"/>
        </w:tabs>
        <w:ind w:left="360"/>
        <w:rPr>
          <w:color w:val="auto"/>
        </w:rPr>
      </w:pPr>
      <w:r w:rsidRPr="00EF26B6">
        <w:rPr>
          <w:color w:val="auto"/>
        </w:rPr>
        <w:t>Internal FS and Partner/Affiliate Review Process</w:t>
      </w:r>
    </w:p>
    <w:p w14:paraId="44F6E9E8" w14:textId="0BC6E7EE" w:rsidR="001A60A4" w:rsidRPr="00EF26B6" w:rsidRDefault="001A60A4" w:rsidP="00E0561A">
      <w:pPr>
        <w:spacing w:after="200"/>
        <w:rPr>
          <w:rFonts w:asciiTheme="minorHAnsi" w:hAnsiTheme="minorHAnsi" w:cstheme="minorHAnsi"/>
          <w:bCs/>
          <w:sz w:val="22"/>
          <w:szCs w:val="22"/>
        </w:rPr>
      </w:pPr>
      <w:r w:rsidRPr="00EF26B6">
        <w:rPr>
          <w:rFonts w:asciiTheme="minorHAnsi" w:hAnsiTheme="minorHAnsi" w:cstheme="minorHAnsi"/>
          <w:bCs/>
          <w:sz w:val="22"/>
          <w:szCs w:val="22"/>
        </w:rPr>
        <w:t xml:space="preserve">Steve </w:t>
      </w:r>
      <w:r w:rsidR="00816793" w:rsidRPr="00EF26B6">
        <w:rPr>
          <w:rFonts w:asciiTheme="minorHAnsi" w:hAnsiTheme="minorHAnsi" w:cstheme="minorHAnsi"/>
          <w:bCs/>
          <w:sz w:val="22"/>
          <w:szCs w:val="22"/>
        </w:rPr>
        <w:t>Solem reviewed</w:t>
      </w:r>
      <w:r w:rsidR="006A2831" w:rsidRPr="00EF26B6">
        <w:rPr>
          <w:rFonts w:asciiTheme="minorHAnsi" w:hAnsiTheme="minorHAnsi" w:cstheme="minorHAnsi"/>
          <w:bCs/>
          <w:sz w:val="22"/>
          <w:szCs w:val="22"/>
        </w:rPr>
        <w:t xml:space="preserve"> </w:t>
      </w:r>
      <w:r w:rsidRPr="00EF26B6">
        <w:rPr>
          <w:rFonts w:asciiTheme="minorHAnsi" w:hAnsiTheme="minorHAnsi" w:cstheme="minorHAnsi"/>
          <w:bCs/>
          <w:sz w:val="22"/>
          <w:szCs w:val="22"/>
        </w:rPr>
        <w:t>the</w:t>
      </w:r>
      <w:r w:rsidR="009B5F4F" w:rsidRPr="00EF26B6">
        <w:rPr>
          <w:rFonts w:asciiTheme="minorHAnsi" w:hAnsiTheme="minorHAnsi" w:cstheme="minorHAnsi"/>
          <w:bCs/>
          <w:sz w:val="22"/>
          <w:szCs w:val="22"/>
        </w:rPr>
        <w:t xml:space="preserve"> Internal FS and Partner/Affiliate Review Process</w:t>
      </w:r>
      <w:r w:rsidRPr="00EF26B6">
        <w:rPr>
          <w:rFonts w:asciiTheme="minorHAnsi" w:hAnsiTheme="minorHAnsi" w:cstheme="minorHAnsi"/>
          <w:bCs/>
          <w:sz w:val="22"/>
          <w:szCs w:val="22"/>
        </w:rPr>
        <w:t xml:space="preserve">.  </w:t>
      </w:r>
    </w:p>
    <w:p w14:paraId="2E709306" w14:textId="3F197A6B" w:rsidR="00D57E09" w:rsidRPr="00EF26B6" w:rsidRDefault="009B5F4F" w:rsidP="00816793">
      <w:pPr>
        <w:spacing w:after="200"/>
        <w:rPr>
          <w:rFonts w:asciiTheme="minorHAnsi" w:hAnsiTheme="minorHAnsi" w:cstheme="minorHAnsi"/>
          <w:b/>
          <w:bCs/>
          <w:sz w:val="22"/>
          <w:szCs w:val="22"/>
          <w:u w:val="single"/>
        </w:rPr>
      </w:pPr>
      <w:r w:rsidRPr="00EF26B6">
        <w:rPr>
          <w:rFonts w:asciiTheme="minorHAnsi" w:hAnsiTheme="minorHAnsi" w:cstheme="minorHAnsi"/>
          <w:bCs/>
          <w:sz w:val="22"/>
          <w:szCs w:val="22"/>
          <w:u w:val="single"/>
        </w:rPr>
        <w:t>NFS Deputy Chief Review Request</w:t>
      </w:r>
      <w:r w:rsidR="00F7210F" w:rsidRPr="00EF26B6">
        <w:rPr>
          <w:rFonts w:asciiTheme="minorHAnsi" w:hAnsiTheme="minorHAnsi" w:cstheme="minorHAnsi"/>
          <w:b/>
          <w:bCs/>
          <w:sz w:val="22"/>
          <w:szCs w:val="22"/>
        </w:rPr>
        <w:t xml:space="preserve"> – </w:t>
      </w:r>
      <w:r w:rsidR="00F7210F" w:rsidRPr="00EF26B6">
        <w:rPr>
          <w:rFonts w:asciiTheme="minorHAnsi" w:hAnsiTheme="minorHAnsi" w:cstheme="minorHAnsi"/>
          <w:bCs/>
          <w:sz w:val="22"/>
          <w:szCs w:val="22"/>
        </w:rPr>
        <w:t>A letter from the NFS Deputy Chief</w:t>
      </w:r>
      <w:r w:rsidR="00D57E09" w:rsidRPr="00EF26B6">
        <w:rPr>
          <w:rFonts w:asciiTheme="minorHAnsi" w:hAnsiTheme="minorHAnsi" w:cstheme="minorHAnsi"/>
          <w:bCs/>
          <w:sz w:val="22"/>
          <w:szCs w:val="22"/>
        </w:rPr>
        <w:t xml:space="preserve"> formally announces </w:t>
      </w:r>
      <w:r w:rsidR="00480BF3" w:rsidRPr="00EF26B6">
        <w:rPr>
          <w:rFonts w:asciiTheme="minorHAnsi" w:hAnsiTheme="minorHAnsi" w:cstheme="minorHAnsi"/>
          <w:bCs/>
          <w:sz w:val="22"/>
          <w:szCs w:val="22"/>
        </w:rPr>
        <w:t xml:space="preserve">and kicks off </w:t>
      </w:r>
      <w:r w:rsidR="00D57E09" w:rsidRPr="00EF26B6">
        <w:rPr>
          <w:rFonts w:asciiTheme="minorHAnsi" w:hAnsiTheme="minorHAnsi" w:cstheme="minorHAnsi"/>
          <w:bCs/>
          <w:sz w:val="22"/>
          <w:szCs w:val="22"/>
        </w:rPr>
        <w:t>the review</w:t>
      </w:r>
      <w:r w:rsidR="006A2831" w:rsidRPr="00EF26B6">
        <w:rPr>
          <w:rFonts w:asciiTheme="minorHAnsi" w:hAnsiTheme="minorHAnsi" w:cstheme="minorHAnsi"/>
          <w:bCs/>
          <w:sz w:val="22"/>
          <w:szCs w:val="22"/>
        </w:rPr>
        <w:t xml:space="preserve"> of the Technical Guide</w:t>
      </w:r>
      <w:r w:rsidR="00816793" w:rsidRPr="00EF26B6">
        <w:rPr>
          <w:rFonts w:asciiTheme="minorHAnsi" w:hAnsiTheme="minorHAnsi" w:cstheme="minorHAnsi"/>
          <w:bCs/>
          <w:sz w:val="22"/>
          <w:szCs w:val="22"/>
        </w:rPr>
        <w:t xml:space="preserve">. </w:t>
      </w:r>
      <w:r w:rsidR="00D57E09" w:rsidRPr="00EF26B6">
        <w:rPr>
          <w:rFonts w:asciiTheme="minorHAnsi" w:hAnsiTheme="minorHAnsi" w:cstheme="minorHAnsi"/>
          <w:bCs/>
          <w:sz w:val="22"/>
          <w:szCs w:val="22"/>
        </w:rPr>
        <w:t xml:space="preserve">File Codes </w:t>
      </w:r>
      <w:r w:rsidR="00816793" w:rsidRPr="00EF26B6">
        <w:rPr>
          <w:rFonts w:asciiTheme="minorHAnsi" w:hAnsiTheme="minorHAnsi" w:cstheme="minorHAnsi"/>
          <w:bCs/>
          <w:sz w:val="22"/>
          <w:szCs w:val="22"/>
        </w:rPr>
        <w:t>in the letter are standard, but</w:t>
      </w:r>
      <w:r w:rsidR="00D57E09" w:rsidRPr="00EF26B6">
        <w:rPr>
          <w:rFonts w:asciiTheme="minorHAnsi" w:hAnsiTheme="minorHAnsi" w:cstheme="minorHAnsi"/>
          <w:bCs/>
          <w:sz w:val="22"/>
          <w:szCs w:val="22"/>
        </w:rPr>
        <w:t xml:space="preserve"> Routing Codes are intended to route material to other staff areas</w:t>
      </w:r>
      <w:r w:rsidR="007B015A" w:rsidRPr="00EF26B6">
        <w:rPr>
          <w:rFonts w:asciiTheme="minorHAnsi" w:hAnsiTheme="minorHAnsi" w:cstheme="minorHAnsi"/>
          <w:bCs/>
          <w:sz w:val="22"/>
          <w:szCs w:val="22"/>
          <w:highlight w:val="yellow"/>
          <w:u w:val="single"/>
        </w:rPr>
        <w:t>;</w:t>
      </w:r>
      <w:r w:rsidR="00F7210F" w:rsidRPr="00EF26B6">
        <w:rPr>
          <w:rFonts w:asciiTheme="minorHAnsi" w:hAnsiTheme="minorHAnsi" w:cstheme="minorHAnsi"/>
          <w:bCs/>
          <w:sz w:val="22"/>
          <w:szCs w:val="22"/>
          <w:u w:val="single"/>
        </w:rPr>
        <w:t xml:space="preserve"> </w:t>
      </w:r>
      <w:r w:rsidR="00F7210F" w:rsidRPr="00EF26B6">
        <w:rPr>
          <w:rFonts w:asciiTheme="minorHAnsi" w:hAnsiTheme="minorHAnsi" w:cstheme="minorHAnsi"/>
          <w:bCs/>
          <w:sz w:val="22"/>
          <w:szCs w:val="22"/>
        </w:rPr>
        <w:t>these will need to be reviewed and updated</w:t>
      </w:r>
      <w:r w:rsidR="00D57E09" w:rsidRPr="00EF26B6">
        <w:rPr>
          <w:rFonts w:asciiTheme="minorHAnsi" w:hAnsiTheme="minorHAnsi" w:cstheme="minorHAnsi"/>
          <w:bCs/>
          <w:sz w:val="22"/>
          <w:szCs w:val="22"/>
        </w:rPr>
        <w:t xml:space="preserve">. </w:t>
      </w:r>
    </w:p>
    <w:p w14:paraId="069A11DB" w14:textId="15391DCE" w:rsidR="00B74ADB" w:rsidRPr="00EF26B6" w:rsidRDefault="009B5F4F" w:rsidP="00B74ADB">
      <w:pPr>
        <w:spacing w:after="200"/>
        <w:rPr>
          <w:rFonts w:asciiTheme="minorHAnsi" w:hAnsiTheme="minorHAnsi" w:cstheme="minorHAnsi"/>
          <w:bCs/>
          <w:sz w:val="22"/>
          <w:szCs w:val="22"/>
        </w:rPr>
      </w:pPr>
      <w:r w:rsidRPr="00EF26B6">
        <w:rPr>
          <w:rFonts w:asciiTheme="minorHAnsi" w:hAnsiTheme="minorHAnsi" w:cstheme="minorHAnsi"/>
          <w:bCs/>
          <w:sz w:val="22"/>
          <w:szCs w:val="22"/>
        </w:rPr>
        <w:t xml:space="preserve">Technical Guide </w:t>
      </w:r>
      <w:r w:rsidR="00B74ADB" w:rsidRPr="00EF26B6">
        <w:rPr>
          <w:rFonts w:asciiTheme="minorHAnsi" w:hAnsiTheme="minorHAnsi" w:cstheme="minorHAnsi"/>
          <w:bCs/>
          <w:sz w:val="22"/>
          <w:szCs w:val="22"/>
        </w:rPr>
        <w:t xml:space="preserve">Internal/Partner </w:t>
      </w:r>
      <w:r w:rsidRPr="00EF26B6">
        <w:rPr>
          <w:rFonts w:asciiTheme="minorHAnsi" w:hAnsiTheme="minorHAnsi" w:cstheme="minorHAnsi"/>
          <w:bCs/>
          <w:sz w:val="22"/>
          <w:szCs w:val="22"/>
        </w:rPr>
        <w:t>Review</w:t>
      </w:r>
      <w:r w:rsidR="00B74ADB" w:rsidRPr="00EF26B6">
        <w:rPr>
          <w:rFonts w:asciiTheme="minorHAnsi" w:hAnsiTheme="minorHAnsi" w:cstheme="minorHAnsi"/>
          <w:bCs/>
          <w:sz w:val="22"/>
          <w:szCs w:val="22"/>
        </w:rPr>
        <w:t xml:space="preserve"> follows a process </w:t>
      </w:r>
      <w:r w:rsidR="00202677" w:rsidRPr="00EF26B6">
        <w:rPr>
          <w:rFonts w:asciiTheme="minorHAnsi" w:hAnsiTheme="minorHAnsi" w:cstheme="minorHAnsi"/>
          <w:bCs/>
          <w:sz w:val="22"/>
          <w:szCs w:val="22"/>
        </w:rPr>
        <w:t>similar to last review</w:t>
      </w:r>
      <w:r w:rsidR="006A2831" w:rsidRPr="00EF26B6">
        <w:rPr>
          <w:rFonts w:asciiTheme="minorHAnsi" w:hAnsiTheme="minorHAnsi" w:cstheme="minorHAnsi"/>
          <w:bCs/>
          <w:sz w:val="22"/>
          <w:szCs w:val="22"/>
        </w:rPr>
        <w:t>; h</w:t>
      </w:r>
      <w:r w:rsidR="00B74ADB" w:rsidRPr="00EF26B6">
        <w:rPr>
          <w:rFonts w:asciiTheme="minorHAnsi" w:hAnsiTheme="minorHAnsi" w:cstheme="minorHAnsi"/>
          <w:bCs/>
          <w:sz w:val="22"/>
          <w:szCs w:val="22"/>
        </w:rPr>
        <w:t>owever, there are two new sections included as part of the review</w:t>
      </w:r>
      <w:r w:rsidR="00721EDD" w:rsidRPr="00EF26B6">
        <w:rPr>
          <w:rFonts w:asciiTheme="minorHAnsi" w:hAnsiTheme="minorHAnsi" w:cstheme="minorHAnsi"/>
          <w:bCs/>
          <w:sz w:val="22"/>
          <w:szCs w:val="22"/>
        </w:rPr>
        <w:t xml:space="preserve"> for internal reviewers</w:t>
      </w:r>
      <w:r w:rsidR="00B74ADB" w:rsidRPr="00EF26B6">
        <w:rPr>
          <w:rFonts w:asciiTheme="minorHAnsi" w:hAnsiTheme="minorHAnsi" w:cstheme="minorHAnsi"/>
          <w:bCs/>
          <w:sz w:val="22"/>
          <w:szCs w:val="22"/>
        </w:rPr>
        <w:t>.</w:t>
      </w:r>
    </w:p>
    <w:p w14:paraId="5FABBEEC" w14:textId="3EB49D95" w:rsidR="00B74ADB" w:rsidRPr="00EF26B6" w:rsidRDefault="00B74ADB" w:rsidP="00B74ADB">
      <w:pPr>
        <w:numPr>
          <w:ilvl w:val="0"/>
          <w:numId w:val="17"/>
        </w:numPr>
        <w:spacing w:after="200"/>
        <w:rPr>
          <w:rFonts w:asciiTheme="minorHAnsi" w:hAnsiTheme="minorHAnsi" w:cstheme="minorHAnsi"/>
          <w:bCs/>
          <w:sz w:val="22"/>
          <w:szCs w:val="22"/>
        </w:rPr>
      </w:pPr>
      <w:r w:rsidRPr="00EF26B6">
        <w:rPr>
          <w:rFonts w:asciiTheme="minorHAnsi" w:hAnsiTheme="minorHAnsi" w:cstheme="minorHAnsi"/>
          <w:bCs/>
          <w:sz w:val="22"/>
          <w:szCs w:val="22"/>
        </w:rPr>
        <w:t xml:space="preserve">Resulting changes to the Forest Service Geographic Information System (GIS) Data Dictionary and a proposed </w:t>
      </w:r>
      <w:proofErr w:type="spellStart"/>
      <w:r w:rsidRPr="00EF26B6">
        <w:rPr>
          <w:rFonts w:asciiTheme="minorHAnsi" w:hAnsiTheme="minorHAnsi" w:cstheme="minorHAnsi"/>
          <w:bCs/>
          <w:sz w:val="22"/>
          <w:szCs w:val="22"/>
        </w:rPr>
        <w:t>geodatabase</w:t>
      </w:r>
      <w:proofErr w:type="spellEnd"/>
      <w:r w:rsidRPr="00EF26B6">
        <w:rPr>
          <w:rFonts w:asciiTheme="minorHAnsi" w:hAnsiTheme="minorHAnsi" w:cstheme="minorHAnsi"/>
          <w:bCs/>
          <w:sz w:val="22"/>
          <w:szCs w:val="22"/>
        </w:rPr>
        <w:t xml:space="preserve"> design.</w:t>
      </w:r>
    </w:p>
    <w:p w14:paraId="5AC83EB2" w14:textId="77777777" w:rsidR="00B74ADB" w:rsidRPr="00EF26B6" w:rsidRDefault="00B74ADB" w:rsidP="00B74ADB">
      <w:pPr>
        <w:numPr>
          <w:ilvl w:val="0"/>
          <w:numId w:val="17"/>
        </w:numPr>
        <w:spacing w:after="200"/>
        <w:rPr>
          <w:rFonts w:asciiTheme="minorHAnsi" w:hAnsiTheme="minorHAnsi" w:cstheme="minorHAnsi"/>
          <w:bCs/>
          <w:sz w:val="22"/>
          <w:szCs w:val="22"/>
        </w:rPr>
      </w:pPr>
      <w:r w:rsidRPr="00EF26B6">
        <w:rPr>
          <w:rFonts w:asciiTheme="minorHAnsi" w:hAnsiTheme="minorHAnsi" w:cstheme="minorHAnsi"/>
          <w:bCs/>
          <w:sz w:val="22"/>
          <w:szCs w:val="22"/>
        </w:rPr>
        <w:t>Identification of potential impacts to Forest Service database applications, including National Resource Manager (NRM) data structures and applications, as well as local field applications.</w:t>
      </w:r>
    </w:p>
    <w:p w14:paraId="1F28C04D" w14:textId="2677304D" w:rsidR="00B74ADB" w:rsidRPr="00EF26B6" w:rsidRDefault="00B74ADB" w:rsidP="006A2831">
      <w:pPr>
        <w:spacing w:after="200"/>
        <w:rPr>
          <w:rFonts w:asciiTheme="minorHAnsi" w:hAnsiTheme="minorHAnsi" w:cstheme="minorHAnsi"/>
          <w:bCs/>
          <w:sz w:val="22"/>
          <w:szCs w:val="22"/>
        </w:rPr>
      </w:pPr>
      <w:r w:rsidRPr="00EF26B6">
        <w:rPr>
          <w:rFonts w:asciiTheme="minorHAnsi" w:hAnsiTheme="minorHAnsi" w:cstheme="minorHAnsi"/>
          <w:bCs/>
          <w:sz w:val="22"/>
          <w:szCs w:val="22"/>
        </w:rPr>
        <w:t>The Technical Guide Review requests reviewer</w:t>
      </w:r>
      <w:r w:rsidR="00F7210F" w:rsidRPr="00EF26B6">
        <w:rPr>
          <w:rFonts w:asciiTheme="minorHAnsi" w:hAnsiTheme="minorHAnsi" w:cstheme="minorHAnsi"/>
          <w:bCs/>
          <w:sz w:val="22"/>
          <w:szCs w:val="22"/>
        </w:rPr>
        <w:t>’</w:t>
      </w:r>
      <w:r w:rsidRPr="00EF26B6">
        <w:rPr>
          <w:rFonts w:asciiTheme="minorHAnsi" w:hAnsiTheme="minorHAnsi" w:cstheme="minorHAnsi"/>
          <w:bCs/>
          <w:sz w:val="22"/>
          <w:szCs w:val="22"/>
        </w:rPr>
        <w:t xml:space="preserve">s </w:t>
      </w:r>
      <w:r w:rsidRPr="00EF26B6">
        <w:rPr>
          <w:rFonts w:asciiTheme="minorHAnsi" w:hAnsiTheme="minorHAnsi"/>
          <w:sz w:val="22"/>
          <w:szCs w:val="22"/>
        </w:rPr>
        <w:t>perspectives and responses to the following questions.</w:t>
      </w:r>
    </w:p>
    <w:p w14:paraId="79661845" w14:textId="77777777" w:rsidR="00B74ADB" w:rsidRPr="00EF26B6" w:rsidRDefault="00B74ADB" w:rsidP="00B74ADB">
      <w:pPr>
        <w:numPr>
          <w:ilvl w:val="0"/>
          <w:numId w:val="16"/>
        </w:numPr>
        <w:spacing w:after="200"/>
        <w:rPr>
          <w:rFonts w:asciiTheme="minorHAnsi" w:hAnsiTheme="minorHAnsi"/>
          <w:sz w:val="22"/>
          <w:szCs w:val="22"/>
        </w:rPr>
      </w:pPr>
      <w:r w:rsidRPr="00EF26B6">
        <w:rPr>
          <w:rFonts w:asciiTheme="minorHAnsi" w:hAnsiTheme="minorHAnsi"/>
          <w:sz w:val="22"/>
          <w:szCs w:val="22"/>
        </w:rPr>
        <w:t xml:space="preserve">Is the overall structure and flow of information presented in the Technical Guide well conceived? Are there any major flaws? </w:t>
      </w:r>
    </w:p>
    <w:p w14:paraId="5CBE0826" w14:textId="77777777" w:rsidR="00B74ADB" w:rsidRPr="00EF26B6" w:rsidRDefault="00B74ADB" w:rsidP="00B74ADB">
      <w:pPr>
        <w:numPr>
          <w:ilvl w:val="0"/>
          <w:numId w:val="16"/>
        </w:numPr>
        <w:spacing w:after="200"/>
        <w:rPr>
          <w:rFonts w:asciiTheme="minorHAnsi" w:hAnsiTheme="minorHAnsi"/>
          <w:sz w:val="22"/>
          <w:szCs w:val="22"/>
        </w:rPr>
      </w:pPr>
      <w:r w:rsidRPr="00EF26B6">
        <w:rPr>
          <w:rFonts w:asciiTheme="minorHAnsi" w:hAnsiTheme="minorHAnsi"/>
          <w:sz w:val="22"/>
          <w:szCs w:val="22"/>
        </w:rPr>
        <w:lastRenderedPageBreak/>
        <w:t>Does Section 2 adequately describe the conceptual framework used, relationships between agency business requirements, and the relationships to methods described in the Technical Guide?</w:t>
      </w:r>
    </w:p>
    <w:p w14:paraId="014B8807" w14:textId="0F521731" w:rsidR="00B74ADB" w:rsidRPr="00EF26B6" w:rsidRDefault="00B74ADB" w:rsidP="00B74ADB">
      <w:pPr>
        <w:numPr>
          <w:ilvl w:val="0"/>
          <w:numId w:val="16"/>
        </w:numPr>
        <w:spacing w:after="200"/>
        <w:rPr>
          <w:rFonts w:asciiTheme="minorHAnsi" w:hAnsiTheme="minorHAnsi"/>
          <w:sz w:val="22"/>
          <w:szCs w:val="22"/>
        </w:rPr>
      </w:pPr>
      <w:r w:rsidRPr="00EF26B6">
        <w:rPr>
          <w:rFonts w:asciiTheme="minorHAnsi" w:hAnsiTheme="minorHAnsi"/>
          <w:sz w:val="22"/>
          <w:szCs w:val="22"/>
        </w:rPr>
        <w:t>How well do the technical descriptions and methods presented in Sections 3 through Section 5 flow?  Are there any technical flaws in p</w:t>
      </w:r>
      <w:r w:rsidR="00F7210F" w:rsidRPr="00EF26B6">
        <w:rPr>
          <w:rFonts w:asciiTheme="minorHAnsi" w:hAnsiTheme="minorHAnsi"/>
          <w:sz w:val="22"/>
          <w:szCs w:val="22"/>
        </w:rPr>
        <w:t xml:space="preserve">resentation or approach?  Is </w:t>
      </w:r>
      <w:r w:rsidRPr="00EF26B6">
        <w:rPr>
          <w:rFonts w:asciiTheme="minorHAnsi" w:hAnsiTheme="minorHAnsi"/>
          <w:sz w:val="22"/>
          <w:szCs w:val="22"/>
        </w:rPr>
        <w:t>there an appropriate amount of detail and discussion?</w:t>
      </w:r>
    </w:p>
    <w:p w14:paraId="49AE2F70" w14:textId="77777777" w:rsidR="00B74ADB" w:rsidRPr="00EF26B6" w:rsidRDefault="00B74ADB" w:rsidP="00B74ADB">
      <w:pPr>
        <w:numPr>
          <w:ilvl w:val="0"/>
          <w:numId w:val="16"/>
        </w:numPr>
        <w:spacing w:after="200"/>
        <w:rPr>
          <w:rFonts w:asciiTheme="minorHAnsi" w:hAnsiTheme="minorHAnsi"/>
          <w:sz w:val="22"/>
          <w:szCs w:val="22"/>
        </w:rPr>
      </w:pPr>
      <w:r w:rsidRPr="00EF26B6">
        <w:rPr>
          <w:rFonts w:asciiTheme="minorHAnsi" w:hAnsiTheme="minorHAnsi"/>
          <w:sz w:val="22"/>
          <w:szCs w:val="22"/>
        </w:rPr>
        <w:t>Are there changes to the Technical Guide that should be considered? Are there missing components?</w:t>
      </w:r>
    </w:p>
    <w:p w14:paraId="3A5EACB0" w14:textId="77777777" w:rsidR="00B74ADB" w:rsidRPr="00EF26B6" w:rsidRDefault="00B74ADB" w:rsidP="00B74ADB">
      <w:pPr>
        <w:numPr>
          <w:ilvl w:val="0"/>
          <w:numId w:val="16"/>
        </w:numPr>
        <w:spacing w:after="200"/>
        <w:rPr>
          <w:rFonts w:asciiTheme="minorHAnsi" w:hAnsiTheme="minorHAnsi"/>
          <w:sz w:val="22"/>
          <w:szCs w:val="22"/>
        </w:rPr>
      </w:pPr>
      <w:r w:rsidRPr="00EF26B6">
        <w:rPr>
          <w:rFonts w:asciiTheme="minorHAnsi" w:hAnsiTheme="minorHAnsi"/>
          <w:sz w:val="22"/>
          <w:szCs w:val="22"/>
        </w:rPr>
        <w:t>What impacts to your organization may result from using the technical guidance?  Do you have specific thoughts regarding user training or implementation of this guidance that should be considered?</w:t>
      </w:r>
    </w:p>
    <w:p w14:paraId="5D13A870" w14:textId="77777777" w:rsidR="00B74ADB" w:rsidRPr="00EF26B6" w:rsidRDefault="00B74ADB" w:rsidP="00B74ADB">
      <w:pPr>
        <w:numPr>
          <w:ilvl w:val="1"/>
          <w:numId w:val="16"/>
        </w:numPr>
        <w:spacing w:after="200"/>
        <w:rPr>
          <w:rFonts w:asciiTheme="minorHAnsi" w:hAnsiTheme="minorHAnsi"/>
          <w:sz w:val="22"/>
          <w:szCs w:val="22"/>
        </w:rPr>
      </w:pPr>
      <w:r w:rsidRPr="00EF26B6">
        <w:rPr>
          <w:rFonts w:asciiTheme="minorHAnsi" w:hAnsiTheme="minorHAnsi"/>
          <w:sz w:val="22"/>
          <w:szCs w:val="22"/>
        </w:rPr>
        <w:t>Benefits/Consequences: What benefits to partnerships, data sharing, and improved efficiency do you envision?  Do you foresee any unintended consequences as a result of applying these procedures?</w:t>
      </w:r>
    </w:p>
    <w:p w14:paraId="5631BBFC" w14:textId="77777777" w:rsidR="00B74ADB" w:rsidRPr="00EF26B6" w:rsidRDefault="00B74ADB" w:rsidP="00B74ADB">
      <w:pPr>
        <w:numPr>
          <w:ilvl w:val="1"/>
          <w:numId w:val="16"/>
        </w:numPr>
        <w:spacing w:after="200"/>
        <w:rPr>
          <w:rFonts w:asciiTheme="minorHAnsi" w:hAnsiTheme="minorHAnsi"/>
          <w:sz w:val="22"/>
          <w:szCs w:val="22"/>
        </w:rPr>
      </w:pPr>
      <w:r w:rsidRPr="00EF26B6">
        <w:rPr>
          <w:rFonts w:asciiTheme="minorHAnsi" w:hAnsiTheme="minorHAnsi"/>
          <w:sz w:val="22"/>
          <w:szCs w:val="22"/>
        </w:rPr>
        <w:t>Transition Costs: Are there changes or adaptations needed to information systems or inventory/monitoring systems to make them compatible with the guidance?</w:t>
      </w:r>
    </w:p>
    <w:p w14:paraId="4D059095" w14:textId="77777777" w:rsidR="00B74ADB" w:rsidRPr="00EF26B6" w:rsidRDefault="00B74ADB" w:rsidP="00B74ADB">
      <w:pPr>
        <w:numPr>
          <w:ilvl w:val="1"/>
          <w:numId w:val="16"/>
        </w:numPr>
        <w:spacing w:after="200"/>
        <w:rPr>
          <w:rFonts w:asciiTheme="minorHAnsi" w:hAnsiTheme="minorHAnsi"/>
          <w:sz w:val="22"/>
          <w:szCs w:val="22"/>
        </w:rPr>
      </w:pPr>
      <w:r w:rsidRPr="00EF26B6">
        <w:rPr>
          <w:rFonts w:asciiTheme="minorHAnsi" w:hAnsiTheme="minorHAnsi"/>
          <w:sz w:val="22"/>
          <w:szCs w:val="22"/>
        </w:rPr>
        <w:t>Capacity of personnel to understand and use: Are the skills and training of potential users adequate to understand and apply the guidance? What training opportunities would help users?</w:t>
      </w:r>
    </w:p>
    <w:p w14:paraId="0C67BC64" w14:textId="43D51884" w:rsidR="00B74ADB" w:rsidRPr="00EF26B6" w:rsidRDefault="00B74ADB" w:rsidP="00B74ADB">
      <w:pPr>
        <w:spacing w:after="200"/>
        <w:rPr>
          <w:rFonts w:asciiTheme="minorHAnsi" w:hAnsiTheme="minorHAnsi" w:cstheme="minorHAnsi"/>
          <w:bCs/>
          <w:sz w:val="22"/>
          <w:szCs w:val="22"/>
        </w:rPr>
      </w:pPr>
      <w:r w:rsidRPr="00EF26B6">
        <w:rPr>
          <w:rFonts w:asciiTheme="minorHAnsi" w:hAnsiTheme="minorHAnsi" w:cstheme="minorHAnsi"/>
          <w:bCs/>
          <w:sz w:val="22"/>
          <w:szCs w:val="22"/>
        </w:rPr>
        <w:t xml:space="preserve">Reviewers are asked to consolidate comments into one response per Region, Station, Area, or Washington Office staff area.  </w:t>
      </w:r>
    </w:p>
    <w:p w14:paraId="02F2F666" w14:textId="77777777" w:rsidR="00721EDD" w:rsidRPr="00EF26B6" w:rsidRDefault="00B74ADB" w:rsidP="00B74ADB">
      <w:pPr>
        <w:spacing w:after="200"/>
        <w:rPr>
          <w:rFonts w:asciiTheme="minorHAnsi" w:hAnsiTheme="minorHAnsi" w:cstheme="minorHAnsi"/>
          <w:bCs/>
          <w:sz w:val="22"/>
          <w:szCs w:val="22"/>
        </w:rPr>
      </w:pPr>
      <w:r w:rsidRPr="00EF26B6">
        <w:rPr>
          <w:rFonts w:asciiTheme="minorHAnsi" w:hAnsiTheme="minorHAnsi" w:cstheme="minorHAnsi"/>
          <w:bCs/>
          <w:sz w:val="22"/>
          <w:szCs w:val="22"/>
        </w:rPr>
        <w:t>An e</w:t>
      </w:r>
      <w:r w:rsidR="00480BF3" w:rsidRPr="00EF26B6">
        <w:rPr>
          <w:rFonts w:asciiTheme="minorHAnsi" w:hAnsiTheme="minorHAnsi" w:cstheme="minorHAnsi"/>
          <w:bCs/>
          <w:sz w:val="22"/>
          <w:szCs w:val="22"/>
        </w:rPr>
        <w:t>xternal w</w:t>
      </w:r>
      <w:r w:rsidR="00202677" w:rsidRPr="00EF26B6">
        <w:rPr>
          <w:rFonts w:asciiTheme="minorHAnsi" w:hAnsiTheme="minorHAnsi" w:cstheme="minorHAnsi"/>
          <w:bCs/>
          <w:sz w:val="22"/>
          <w:szCs w:val="22"/>
        </w:rPr>
        <w:t xml:space="preserve">ebsite </w:t>
      </w:r>
      <w:r w:rsidR="00480BF3" w:rsidRPr="00EF26B6">
        <w:rPr>
          <w:rFonts w:asciiTheme="minorHAnsi" w:hAnsiTheme="minorHAnsi" w:cstheme="minorHAnsi"/>
          <w:bCs/>
          <w:sz w:val="22"/>
          <w:szCs w:val="22"/>
        </w:rPr>
        <w:t xml:space="preserve">will be </w:t>
      </w:r>
      <w:r w:rsidR="00202677" w:rsidRPr="00EF26B6">
        <w:rPr>
          <w:rFonts w:asciiTheme="minorHAnsi" w:hAnsiTheme="minorHAnsi" w:cstheme="minorHAnsi"/>
          <w:bCs/>
          <w:sz w:val="22"/>
          <w:szCs w:val="22"/>
        </w:rPr>
        <w:t xml:space="preserve">set up for </w:t>
      </w:r>
      <w:r w:rsidR="00480BF3" w:rsidRPr="00EF26B6">
        <w:rPr>
          <w:rFonts w:asciiTheme="minorHAnsi" w:hAnsiTheme="minorHAnsi" w:cstheme="minorHAnsi"/>
          <w:bCs/>
          <w:sz w:val="22"/>
          <w:szCs w:val="22"/>
        </w:rPr>
        <w:t>the Internal/Partner</w:t>
      </w:r>
      <w:r w:rsidR="00202677" w:rsidRPr="00EF26B6">
        <w:rPr>
          <w:rFonts w:asciiTheme="minorHAnsi" w:hAnsiTheme="minorHAnsi" w:cstheme="minorHAnsi"/>
          <w:bCs/>
          <w:sz w:val="22"/>
          <w:szCs w:val="22"/>
        </w:rPr>
        <w:t xml:space="preserve"> </w:t>
      </w:r>
      <w:r w:rsidR="00480BF3" w:rsidRPr="00EF26B6">
        <w:rPr>
          <w:rFonts w:asciiTheme="minorHAnsi" w:hAnsiTheme="minorHAnsi" w:cstheme="minorHAnsi"/>
          <w:bCs/>
          <w:sz w:val="22"/>
          <w:szCs w:val="22"/>
        </w:rPr>
        <w:t xml:space="preserve">Review of the </w:t>
      </w:r>
      <w:r w:rsidR="00202677" w:rsidRPr="00EF26B6">
        <w:rPr>
          <w:rFonts w:asciiTheme="minorHAnsi" w:hAnsiTheme="minorHAnsi" w:cstheme="minorHAnsi"/>
          <w:bCs/>
          <w:sz w:val="22"/>
          <w:szCs w:val="22"/>
        </w:rPr>
        <w:t xml:space="preserve">Technical </w:t>
      </w:r>
      <w:r w:rsidR="00480BF3" w:rsidRPr="00EF26B6">
        <w:rPr>
          <w:rFonts w:asciiTheme="minorHAnsi" w:hAnsiTheme="minorHAnsi" w:cstheme="minorHAnsi"/>
          <w:bCs/>
          <w:sz w:val="22"/>
          <w:szCs w:val="22"/>
        </w:rPr>
        <w:t>Guide</w:t>
      </w:r>
      <w:r w:rsidR="006A2831" w:rsidRPr="00EF26B6">
        <w:rPr>
          <w:rFonts w:asciiTheme="minorHAnsi" w:hAnsiTheme="minorHAnsi" w:cstheme="minorHAnsi"/>
          <w:bCs/>
          <w:sz w:val="22"/>
          <w:szCs w:val="22"/>
        </w:rPr>
        <w:t xml:space="preserve"> to </w:t>
      </w:r>
      <w:r w:rsidR="00F7210F" w:rsidRPr="00EF26B6">
        <w:rPr>
          <w:rFonts w:asciiTheme="minorHAnsi" w:hAnsiTheme="minorHAnsi" w:cstheme="minorHAnsi"/>
          <w:bCs/>
          <w:sz w:val="22"/>
          <w:szCs w:val="22"/>
        </w:rPr>
        <w:t xml:space="preserve">serve as a common gateway to </w:t>
      </w:r>
      <w:r w:rsidR="006A2831" w:rsidRPr="00EF26B6">
        <w:rPr>
          <w:rFonts w:asciiTheme="minorHAnsi" w:hAnsiTheme="minorHAnsi" w:cstheme="minorHAnsi"/>
          <w:bCs/>
          <w:sz w:val="22"/>
          <w:szCs w:val="22"/>
        </w:rPr>
        <w:t>access project documentation</w:t>
      </w:r>
      <w:r w:rsidR="00F7210F" w:rsidRPr="00EF26B6">
        <w:rPr>
          <w:rFonts w:asciiTheme="minorHAnsi" w:hAnsiTheme="minorHAnsi" w:cstheme="minorHAnsi"/>
          <w:bCs/>
          <w:sz w:val="22"/>
          <w:szCs w:val="22"/>
        </w:rPr>
        <w:t xml:space="preserve"> </w:t>
      </w:r>
      <w:r w:rsidR="00721EDD" w:rsidRPr="00EF26B6">
        <w:rPr>
          <w:rFonts w:asciiTheme="minorHAnsi" w:hAnsiTheme="minorHAnsi" w:cstheme="minorHAnsi"/>
          <w:bCs/>
          <w:sz w:val="22"/>
          <w:szCs w:val="22"/>
        </w:rPr>
        <w:t xml:space="preserve">and review guidelines </w:t>
      </w:r>
      <w:r w:rsidR="00F7210F" w:rsidRPr="00EF26B6">
        <w:rPr>
          <w:rFonts w:asciiTheme="minorHAnsi" w:hAnsiTheme="minorHAnsi" w:cstheme="minorHAnsi"/>
          <w:bCs/>
          <w:sz w:val="22"/>
          <w:szCs w:val="22"/>
        </w:rPr>
        <w:t xml:space="preserve">and </w:t>
      </w:r>
      <w:r w:rsidR="00721EDD" w:rsidRPr="00EF26B6">
        <w:rPr>
          <w:rFonts w:asciiTheme="minorHAnsi" w:hAnsiTheme="minorHAnsi" w:cstheme="minorHAnsi"/>
          <w:bCs/>
          <w:sz w:val="22"/>
          <w:szCs w:val="22"/>
        </w:rPr>
        <w:t xml:space="preserve">to provide internal reviewers </w:t>
      </w:r>
      <w:r w:rsidR="00F7210F" w:rsidRPr="00EF26B6">
        <w:rPr>
          <w:rFonts w:asciiTheme="minorHAnsi" w:hAnsiTheme="minorHAnsi" w:cstheme="minorHAnsi"/>
          <w:bCs/>
          <w:sz w:val="22"/>
          <w:szCs w:val="22"/>
        </w:rPr>
        <w:t>access to SharePo</w:t>
      </w:r>
      <w:r w:rsidR="00721EDD" w:rsidRPr="00EF26B6">
        <w:rPr>
          <w:rFonts w:asciiTheme="minorHAnsi" w:hAnsiTheme="minorHAnsi" w:cstheme="minorHAnsi"/>
          <w:bCs/>
          <w:sz w:val="22"/>
          <w:szCs w:val="22"/>
        </w:rPr>
        <w:t>int sites</w:t>
      </w:r>
      <w:r w:rsidR="00202677" w:rsidRPr="00EF26B6">
        <w:rPr>
          <w:rFonts w:asciiTheme="minorHAnsi" w:hAnsiTheme="minorHAnsi" w:cstheme="minorHAnsi"/>
          <w:bCs/>
          <w:sz w:val="22"/>
          <w:szCs w:val="22"/>
        </w:rPr>
        <w:t xml:space="preserve">.  </w:t>
      </w:r>
      <w:r w:rsidRPr="00EF26B6">
        <w:rPr>
          <w:rFonts w:asciiTheme="minorHAnsi" w:hAnsiTheme="minorHAnsi" w:cstheme="minorHAnsi"/>
          <w:bCs/>
          <w:sz w:val="22"/>
          <w:szCs w:val="22"/>
        </w:rPr>
        <w:t xml:space="preserve">An </w:t>
      </w:r>
      <w:r w:rsidR="00480BF3" w:rsidRPr="00EF26B6">
        <w:rPr>
          <w:rFonts w:asciiTheme="minorHAnsi" w:hAnsiTheme="minorHAnsi" w:cstheme="minorHAnsi"/>
          <w:bCs/>
          <w:sz w:val="22"/>
          <w:szCs w:val="22"/>
        </w:rPr>
        <w:t xml:space="preserve">Internal FS SharePoint will be set up for the FS Application Dependency Assessment and </w:t>
      </w:r>
      <w:r w:rsidR="00721EDD" w:rsidRPr="00EF26B6">
        <w:rPr>
          <w:rFonts w:asciiTheme="minorHAnsi" w:hAnsiTheme="minorHAnsi" w:cstheme="minorHAnsi"/>
          <w:bCs/>
          <w:sz w:val="22"/>
          <w:szCs w:val="22"/>
        </w:rPr>
        <w:t xml:space="preserve">a SharePoint will be established for review and comment on changes to the </w:t>
      </w:r>
      <w:r w:rsidR="006A2831" w:rsidRPr="00EF26B6">
        <w:rPr>
          <w:rFonts w:asciiTheme="minorHAnsi" w:hAnsiTheme="minorHAnsi" w:cstheme="minorHAnsi"/>
          <w:bCs/>
          <w:sz w:val="22"/>
          <w:szCs w:val="22"/>
        </w:rPr>
        <w:t>Data Dictionary/Geod</w:t>
      </w:r>
      <w:r w:rsidR="00480BF3" w:rsidRPr="00EF26B6">
        <w:rPr>
          <w:rFonts w:asciiTheme="minorHAnsi" w:hAnsiTheme="minorHAnsi" w:cstheme="minorHAnsi"/>
          <w:bCs/>
          <w:sz w:val="22"/>
          <w:szCs w:val="22"/>
        </w:rPr>
        <w:t>atabase Design</w:t>
      </w:r>
    </w:p>
    <w:p w14:paraId="74F617CF" w14:textId="7EBBC661" w:rsidR="00B74ADB" w:rsidRPr="00EF26B6" w:rsidRDefault="00B74ADB" w:rsidP="00B74ADB">
      <w:pPr>
        <w:spacing w:after="200"/>
        <w:rPr>
          <w:rFonts w:asciiTheme="minorHAnsi" w:hAnsiTheme="minorHAnsi" w:cstheme="minorHAnsi"/>
          <w:b/>
          <w:bCs/>
          <w:sz w:val="22"/>
          <w:szCs w:val="22"/>
        </w:rPr>
      </w:pPr>
      <w:r w:rsidRPr="00EF26B6">
        <w:rPr>
          <w:rFonts w:asciiTheme="minorHAnsi" w:hAnsiTheme="minorHAnsi" w:cstheme="minorHAnsi"/>
          <w:bCs/>
          <w:sz w:val="22"/>
          <w:szCs w:val="22"/>
        </w:rPr>
        <w:t>Detailed information about the review process f</w:t>
      </w:r>
      <w:r w:rsidR="00721EDD" w:rsidRPr="00EF26B6">
        <w:rPr>
          <w:rFonts w:asciiTheme="minorHAnsi" w:hAnsiTheme="minorHAnsi" w:cstheme="minorHAnsi"/>
          <w:bCs/>
          <w:sz w:val="22"/>
          <w:szCs w:val="22"/>
        </w:rPr>
        <w:t>or the GIS Data Dictionary and Geodatabase D</w:t>
      </w:r>
      <w:r w:rsidRPr="00EF26B6">
        <w:rPr>
          <w:rFonts w:asciiTheme="minorHAnsi" w:hAnsiTheme="minorHAnsi" w:cstheme="minorHAnsi"/>
          <w:bCs/>
          <w:sz w:val="22"/>
          <w:szCs w:val="22"/>
        </w:rPr>
        <w:t>esign will be posted on the FS GIS Data Dictionary Update Pr</w:t>
      </w:r>
      <w:r w:rsidR="00721EDD" w:rsidRPr="00EF26B6">
        <w:rPr>
          <w:rFonts w:asciiTheme="minorHAnsi" w:hAnsiTheme="minorHAnsi" w:cstheme="minorHAnsi"/>
          <w:bCs/>
          <w:sz w:val="22"/>
          <w:szCs w:val="22"/>
        </w:rPr>
        <w:t>oject website.</w:t>
      </w:r>
    </w:p>
    <w:p w14:paraId="0AA502ED" w14:textId="77777777" w:rsidR="009B5F4F" w:rsidRPr="00EF26B6" w:rsidRDefault="009B5F4F" w:rsidP="006A2831">
      <w:pPr>
        <w:spacing w:after="200"/>
        <w:rPr>
          <w:rFonts w:asciiTheme="minorHAnsi" w:hAnsiTheme="minorHAnsi" w:cstheme="minorHAnsi"/>
          <w:b/>
          <w:bCs/>
          <w:sz w:val="22"/>
          <w:szCs w:val="22"/>
          <w:u w:val="single"/>
        </w:rPr>
      </w:pPr>
      <w:r w:rsidRPr="00EF26B6">
        <w:rPr>
          <w:rFonts w:asciiTheme="minorHAnsi" w:hAnsiTheme="minorHAnsi" w:cstheme="minorHAnsi"/>
          <w:bCs/>
          <w:sz w:val="22"/>
          <w:szCs w:val="22"/>
          <w:u w:val="single"/>
        </w:rPr>
        <w:t>Partner and Affiliate Review Process</w:t>
      </w:r>
    </w:p>
    <w:p w14:paraId="04B663BD" w14:textId="320E3159" w:rsidR="00721EDD" w:rsidRPr="00EF26B6" w:rsidRDefault="00721EDD" w:rsidP="009B5F4F">
      <w:pPr>
        <w:spacing w:after="200"/>
        <w:rPr>
          <w:rFonts w:asciiTheme="minorHAnsi" w:hAnsiTheme="minorHAnsi" w:cstheme="minorHAnsi"/>
          <w:bCs/>
          <w:sz w:val="22"/>
          <w:szCs w:val="22"/>
        </w:rPr>
      </w:pPr>
      <w:r w:rsidRPr="00EF26B6">
        <w:rPr>
          <w:rFonts w:asciiTheme="minorHAnsi" w:hAnsiTheme="minorHAnsi" w:cstheme="minorHAnsi"/>
          <w:bCs/>
          <w:sz w:val="22"/>
          <w:szCs w:val="22"/>
        </w:rPr>
        <w:t>This review will focus on the five review questions identified in the NFS Deputy Chief’s letter.  Chris Carlson will notify each of the partners and provide them information on the review process.  Because external p</w:t>
      </w:r>
      <w:r w:rsidR="006A2831" w:rsidRPr="00EF26B6">
        <w:rPr>
          <w:rFonts w:asciiTheme="minorHAnsi" w:hAnsiTheme="minorHAnsi" w:cstheme="minorHAnsi"/>
          <w:bCs/>
          <w:sz w:val="22"/>
          <w:szCs w:val="22"/>
        </w:rPr>
        <w:t xml:space="preserve">artners cannot access FS SharePoint sites </w:t>
      </w:r>
      <w:r w:rsidRPr="00EF26B6">
        <w:rPr>
          <w:rFonts w:asciiTheme="minorHAnsi" w:hAnsiTheme="minorHAnsi" w:cstheme="minorHAnsi"/>
          <w:bCs/>
          <w:sz w:val="22"/>
          <w:szCs w:val="22"/>
        </w:rPr>
        <w:t>we will not be requesting comments on the</w:t>
      </w:r>
      <w:r w:rsidR="006A2831" w:rsidRPr="00EF26B6">
        <w:rPr>
          <w:rFonts w:asciiTheme="minorHAnsi" w:hAnsiTheme="minorHAnsi" w:cstheme="minorHAnsi"/>
          <w:bCs/>
          <w:sz w:val="22"/>
          <w:szCs w:val="22"/>
        </w:rPr>
        <w:t xml:space="preserve"> FS Application Dependency Assessment and Data Dictionary</w:t>
      </w:r>
      <w:r w:rsidRPr="00EF26B6">
        <w:rPr>
          <w:rFonts w:asciiTheme="minorHAnsi" w:hAnsiTheme="minorHAnsi" w:cstheme="minorHAnsi"/>
          <w:bCs/>
          <w:sz w:val="22"/>
          <w:szCs w:val="22"/>
        </w:rPr>
        <w:t>/Geodatabase Design</w:t>
      </w:r>
      <w:r w:rsidR="00CC4318" w:rsidRPr="00EF26B6">
        <w:rPr>
          <w:rFonts w:asciiTheme="minorHAnsi" w:hAnsiTheme="minorHAnsi" w:cstheme="minorHAnsi"/>
          <w:bCs/>
          <w:sz w:val="22"/>
          <w:szCs w:val="22"/>
        </w:rPr>
        <w:t xml:space="preserve"> using this process</w:t>
      </w:r>
      <w:r w:rsidR="006A2831" w:rsidRPr="00EF26B6">
        <w:rPr>
          <w:rFonts w:asciiTheme="minorHAnsi" w:hAnsiTheme="minorHAnsi" w:cstheme="minorHAnsi"/>
          <w:bCs/>
          <w:sz w:val="22"/>
          <w:szCs w:val="22"/>
        </w:rPr>
        <w:t>.</w:t>
      </w:r>
    </w:p>
    <w:p w14:paraId="0A1419AA" w14:textId="15B328DB" w:rsidR="00C952BC" w:rsidRPr="00EF26B6" w:rsidRDefault="00C952BC" w:rsidP="009B5F4F">
      <w:pPr>
        <w:spacing w:after="200"/>
        <w:rPr>
          <w:rFonts w:asciiTheme="minorHAnsi" w:hAnsiTheme="minorHAnsi" w:cstheme="minorHAnsi"/>
          <w:bCs/>
          <w:sz w:val="22"/>
          <w:szCs w:val="22"/>
        </w:rPr>
      </w:pPr>
      <w:r w:rsidRPr="00EF26B6">
        <w:rPr>
          <w:rFonts w:asciiTheme="minorHAnsi" w:hAnsiTheme="minorHAnsi" w:cstheme="minorHAnsi"/>
          <w:bCs/>
          <w:sz w:val="22"/>
          <w:szCs w:val="22"/>
        </w:rPr>
        <w:t>We will need to make sure our list of reviewers is up-to-date in late November so Chris Carlson can provide reviewers advance notice and let them know about the upcoming review and how to access documents and provide comments.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8"/>
        <w:gridCol w:w="8298"/>
      </w:tblGrid>
      <w:tr w:rsidR="00816793" w:rsidRPr="00EF26B6" w14:paraId="1E1E2784" w14:textId="77777777" w:rsidTr="00F7210F">
        <w:tc>
          <w:tcPr>
            <w:tcW w:w="1098" w:type="dxa"/>
            <w:shd w:val="clear" w:color="auto" w:fill="C6D9F1" w:themeFill="text2" w:themeFillTint="33"/>
          </w:tcPr>
          <w:p w14:paraId="4502824E" w14:textId="47321007" w:rsidR="00816793" w:rsidRPr="00EF26B6" w:rsidRDefault="00816793" w:rsidP="00F7210F">
            <w:pPr>
              <w:rPr>
                <w:rStyle w:val="Strong"/>
                <w:rFonts w:asciiTheme="minorHAnsi" w:hAnsiTheme="minorHAnsi" w:cs="Arial"/>
                <w:b w:val="0"/>
                <w:sz w:val="22"/>
                <w:szCs w:val="22"/>
              </w:rPr>
            </w:pPr>
            <w:r w:rsidRPr="00EF26B6">
              <w:rPr>
                <w:rFonts w:asciiTheme="minorHAnsi" w:hAnsiTheme="minorHAnsi" w:cs="Arial"/>
                <w:b/>
                <w:bCs/>
                <w:sz w:val="22"/>
                <w:szCs w:val="22"/>
              </w:rPr>
              <w:t xml:space="preserve">Action:  </w:t>
            </w:r>
          </w:p>
        </w:tc>
        <w:tc>
          <w:tcPr>
            <w:tcW w:w="8298" w:type="dxa"/>
            <w:shd w:val="clear" w:color="auto" w:fill="C6D9F1" w:themeFill="text2" w:themeFillTint="33"/>
          </w:tcPr>
          <w:p w14:paraId="22598CF3" w14:textId="65BD5DEB" w:rsidR="00816793" w:rsidRPr="00EF26B6" w:rsidRDefault="00816793" w:rsidP="00816793">
            <w:pPr>
              <w:pStyle w:val="ListParagraph"/>
              <w:numPr>
                <w:ilvl w:val="0"/>
                <w:numId w:val="4"/>
              </w:numPr>
              <w:spacing w:after="120"/>
              <w:ind w:left="159" w:hanging="202"/>
              <w:contextualSpacing w:val="0"/>
              <w:rPr>
                <w:rStyle w:val="Strong"/>
                <w:rFonts w:asciiTheme="minorHAnsi" w:hAnsiTheme="minorHAnsi" w:cs="Arial"/>
                <w:b w:val="0"/>
                <w:sz w:val="22"/>
                <w:szCs w:val="22"/>
              </w:rPr>
            </w:pPr>
            <w:r w:rsidRPr="00EF26B6">
              <w:rPr>
                <w:rStyle w:val="Strong"/>
                <w:rFonts w:asciiTheme="minorHAnsi" w:hAnsiTheme="minorHAnsi" w:cs="Arial"/>
                <w:b w:val="0"/>
                <w:sz w:val="22"/>
                <w:szCs w:val="22"/>
              </w:rPr>
              <w:t>Core Team members should</w:t>
            </w:r>
            <w:r w:rsidR="00C952BC" w:rsidRPr="00EF26B6">
              <w:rPr>
                <w:rStyle w:val="Strong"/>
                <w:rFonts w:asciiTheme="minorHAnsi" w:hAnsiTheme="minorHAnsi" w:cs="Arial"/>
                <w:b w:val="0"/>
                <w:sz w:val="22"/>
                <w:szCs w:val="22"/>
              </w:rPr>
              <w:t xml:space="preserve"> send corrections to the </w:t>
            </w:r>
            <w:r w:rsidRPr="00EF26B6">
              <w:rPr>
                <w:rStyle w:val="Strong"/>
                <w:rFonts w:asciiTheme="minorHAnsi" w:hAnsiTheme="minorHAnsi" w:cs="Arial"/>
                <w:b w:val="0"/>
                <w:sz w:val="22"/>
                <w:szCs w:val="22"/>
              </w:rPr>
              <w:t>Routing Codes in Deputy C</w:t>
            </w:r>
            <w:r w:rsidR="00C952BC" w:rsidRPr="00EF26B6">
              <w:rPr>
                <w:rStyle w:val="Strong"/>
                <w:rFonts w:asciiTheme="minorHAnsi" w:hAnsiTheme="minorHAnsi" w:cs="Arial"/>
                <w:b w:val="0"/>
                <w:sz w:val="22"/>
                <w:szCs w:val="22"/>
              </w:rPr>
              <w:t>hief letter</w:t>
            </w:r>
            <w:r w:rsidRPr="00EF26B6">
              <w:rPr>
                <w:rStyle w:val="Strong"/>
                <w:rFonts w:asciiTheme="minorHAnsi" w:hAnsiTheme="minorHAnsi" w:cs="Arial"/>
                <w:b w:val="0"/>
                <w:sz w:val="22"/>
                <w:szCs w:val="22"/>
              </w:rPr>
              <w:t xml:space="preserve"> to Steve Solem</w:t>
            </w:r>
            <w:r w:rsidR="00721EDD" w:rsidRPr="00EF26B6">
              <w:rPr>
                <w:rStyle w:val="Strong"/>
                <w:rFonts w:asciiTheme="minorHAnsi" w:hAnsiTheme="minorHAnsi" w:cs="Arial"/>
                <w:b w:val="0"/>
                <w:sz w:val="22"/>
                <w:szCs w:val="22"/>
              </w:rPr>
              <w:t xml:space="preserve"> and </w:t>
            </w:r>
            <w:r w:rsidR="00C952BC" w:rsidRPr="00EF26B6">
              <w:rPr>
                <w:rStyle w:val="Strong"/>
                <w:rFonts w:asciiTheme="minorHAnsi" w:hAnsiTheme="minorHAnsi" w:cs="Arial"/>
                <w:b w:val="0"/>
                <w:sz w:val="22"/>
                <w:szCs w:val="22"/>
              </w:rPr>
              <w:t>Chris Carlson</w:t>
            </w:r>
            <w:r w:rsidRPr="00EF26B6">
              <w:rPr>
                <w:rStyle w:val="Strong"/>
                <w:rFonts w:asciiTheme="minorHAnsi" w:hAnsiTheme="minorHAnsi" w:cs="Arial"/>
                <w:b w:val="0"/>
                <w:sz w:val="22"/>
                <w:szCs w:val="22"/>
              </w:rPr>
              <w:t>.</w:t>
            </w:r>
          </w:p>
          <w:p w14:paraId="0C4DC228" w14:textId="293DC89C" w:rsidR="006A2831" w:rsidRPr="00EF26B6" w:rsidRDefault="006A2831" w:rsidP="00816793">
            <w:pPr>
              <w:pStyle w:val="ListParagraph"/>
              <w:numPr>
                <w:ilvl w:val="0"/>
                <w:numId w:val="4"/>
              </w:numPr>
              <w:spacing w:after="120"/>
              <w:ind w:left="159" w:hanging="202"/>
              <w:contextualSpacing w:val="0"/>
              <w:rPr>
                <w:rStyle w:val="Strong"/>
                <w:rFonts w:asciiTheme="minorHAnsi" w:hAnsiTheme="minorHAnsi" w:cs="Arial"/>
                <w:b w:val="0"/>
                <w:sz w:val="22"/>
                <w:szCs w:val="22"/>
              </w:rPr>
            </w:pPr>
            <w:r w:rsidRPr="00EF26B6">
              <w:rPr>
                <w:rStyle w:val="Strong"/>
                <w:rFonts w:asciiTheme="minorHAnsi" w:hAnsiTheme="minorHAnsi" w:cs="Arial"/>
                <w:b w:val="0"/>
                <w:sz w:val="22"/>
                <w:szCs w:val="22"/>
              </w:rPr>
              <w:t xml:space="preserve">Send updates to the </w:t>
            </w:r>
            <w:r w:rsidRPr="00EF26B6">
              <w:rPr>
                <w:rFonts w:asciiTheme="minorHAnsi" w:hAnsiTheme="minorHAnsi" w:cstheme="minorHAnsi"/>
                <w:bCs/>
                <w:sz w:val="22"/>
                <w:szCs w:val="22"/>
              </w:rPr>
              <w:t xml:space="preserve">Partner and Affiliate </w:t>
            </w:r>
            <w:r w:rsidRPr="00EF26B6">
              <w:rPr>
                <w:rStyle w:val="Strong"/>
                <w:rFonts w:asciiTheme="minorHAnsi" w:hAnsiTheme="minorHAnsi" w:cs="Arial"/>
                <w:b w:val="0"/>
                <w:sz w:val="22"/>
                <w:szCs w:val="22"/>
              </w:rPr>
              <w:t xml:space="preserve">Review Roster (additional reviewers, corrections to the list) to </w:t>
            </w:r>
            <w:r w:rsidRPr="00EF26B6">
              <w:rPr>
                <w:rFonts w:asciiTheme="minorHAnsi" w:hAnsiTheme="minorHAnsi" w:cstheme="minorHAnsi"/>
                <w:sz w:val="22"/>
                <w:szCs w:val="22"/>
              </w:rPr>
              <w:t>Chris Carlson, Joe Gurrieri, and Steve Solem by</w:t>
            </w:r>
            <w:r w:rsidR="00C952BC" w:rsidRPr="00EF26B6">
              <w:rPr>
                <w:rFonts w:asciiTheme="minorHAnsi" w:hAnsiTheme="minorHAnsi" w:cstheme="minorHAnsi"/>
                <w:sz w:val="22"/>
                <w:szCs w:val="22"/>
              </w:rPr>
              <w:t xml:space="preserve"> November 15</w:t>
            </w:r>
            <w:r w:rsidRPr="00EF26B6">
              <w:rPr>
                <w:rFonts w:asciiTheme="minorHAnsi" w:hAnsiTheme="minorHAnsi" w:cstheme="minorHAnsi"/>
                <w:sz w:val="22"/>
                <w:szCs w:val="22"/>
              </w:rPr>
              <w:t>.</w:t>
            </w:r>
          </w:p>
        </w:tc>
      </w:tr>
    </w:tbl>
    <w:p w14:paraId="56990645" w14:textId="77777777" w:rsidR="00F7210F" w:rsidRPr="00EF26B6" w:rsidRDefault="00F7210F" w:rsidP="00F7210F">
      <w:pPr>
        <w:pStyle w:val="Heading1"/>
        <w:numPr>
          <w:ilvl w:val="0"/>
          <w:numId w:val="0"/>
        </w:numPr>
        <w:spacing w:before="0" w:after="0"/>
        <w:rPr>
          <w:bCs/>
          <w:color w:val="auto"/>
        </w:rPr>
      </w:pPr>
    </w:p>
    <w:p w14:paraId="2DF0A39F" w14:textId="139B702E" w:rsidR="009B5F4F" w:rsidRPr="00EF26B6" w:rsidRDefault="009B5F4F" w:rsidP="00F7210F">
      <w:pPr>
        <w:pStyle w:val="Heading1"/>
        <w:shd w:val="clear" w:color="auto" w:fill="C6D9F1" w:themeFill="text2" w:themeFillTint="33"/>
        <w:tabs>
          <w:tab w:val="clear" w:pos="450"/>
          <w:tab w:val="num" w:pos="360"/>
        </w:tabs>
        <w:spacing w:before="240"/>
        <w:ind w:left="360"/>
        <w:rPr>
          <w:bCs/>
          <w:color w:val="auto"/>
        </w:rPr>
      </w:pPr>
      <w:r w:rsidRPr="00EF26B6">
        <w:rPr>
          <w:bCs/>
          <w:color w:val="auto"/>
        </w:rPr>
        <w:t>GIS Data Dictionary/Geo-Database Design</w:t>
      </w:r>
    </w:p>
    <w:p w14:paraId="1EE7EFB4" w14:textId="49965779" w:rsidR="00DE7EB8" w:rsidRPr="00EF26B6" w:rsidRDefault="00DE7EB8" w:rsidP="00D453E9">
      <w:pPr>
        <w:spacing w:after="20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rPr>
        <w:t xml:space="preserve">Pete Kilbourne gave an overview of the different Data Dictionary </w:t>
      </w:r>
      <w:r w:rsidR="0075607C" w:rsidRPr="00EF26B6">
        <w:rPr>
          <w:rStyle w:val="Strong"/>
          <w:rFonts w:asciiTheme="minorHAnsi" w:hAnsiTheme="minorHAnsi" w:cstheme="minorHAnsi"/>
          <w:b w:val="0"/>
          <w:sz w:val="22"/>
          <w:szCs w:val="22"/>
        </w:rPr>
        <w:t xml:space="preserve">development </w:t>
      </w:r>
      <w:r w:rsidRPr="00EF26B6">
        <w:rPr>
          <w:rStyle w:val="Strong"/>
          <w:rFonts w:asciiTheme="minorHAnsi" w:hAnsiTheme="minorHAnsi" w:cstheme="minorHAnsi"/>
          <w:b w:val="0"/>
          <w:sz w:val="22"/>
          <w:szCs w:val="22"/>
        </w:rPr>
        <w:t>efforts.</w:t>
      </w:r>
    </w:p>
    <w:p w14:paraId="1AD50074" w14:textId="1A238C98" w:rsidR="0075607C" w:rsidRPr="00EF26B6" w:rsidRDefault="0075607C" w:rsidP="00D453E9">
      <w:pPr>
        <w:spacing w:after="20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rPr>
        <w:t xml:space="preserve">We are working on common map layers needed to support consistent development and capture of geospatial information developed while implementing the (a) Groundwater Dependent Inventory Field Guides and (b) the Groundwater Inventory, Monitoring and Assessment Technical Guide.  </w:t>
      </w:r>
      <w:r w:rsidR="00DE7EB8" w:rsidRPr="00EF26B6">
        <w:rPr>
          <w:rStyle w:val="Strong"/>
          <w:rFonts w:asciiTheme="minorHAnsi" w:hAnsiTheme="minorHAnsi" w:cstheme="minorHAnsi"/>
          <w:b w:val="0"/>
          <w:sz w:val="22"/>
          <w:szCs w:val="22"/>
        </w:rPr>
        <w:t>Basic map layers define geospatial data and at</w:t>
      </w:r>
      <w:r w:rsidR="00B319BA" w:rsidRPr="00EF26B6">
        <w:rPr>
          <w:rStyle w:val="Strong"/>
          <w:rFonts w:asciiTheme="minorHAnsi" w:hAnsiTheme="minorHAnsi" w:cstheme="minorHAnsi"/>
          <w:b w:val="0"/>
          <w:sz w:val="22"/>
          <w:szCs w:val="22"/>
        </w:rPr>
        <w:t xml:space="preserve">tributes associated with data. </w:t>
      </w:r>
      <w:r w:rsidR="007A7244" w:rsidRPr="00EF26B6">
        <w:rPr>
          <w:rStyle w:val="Strong"/>
          <w:rFonts w:asciiTheme="minorHAnsi" w:hAnsiTheme="minorHAnsi" w:cstheme="minorHAnsi"/>
          <w:b w:val="0"/>
          <w:sz w:val="22"/>
          <w:szCs w:val="22"/>
        </w:rPr>
        <w:t>A total of six map layers are being defined</w:t>
      </w:r>
      <w:r w:rsidRPr="00EF26B6">
        <w:rPr>
          <w:rStyle w:val="Strong"/>
          <w:rFonts w:asciiTheme="minorHAnsi" w:hAnsiTheme="minorHAnsi" w:cstheme="minorHAnsi"/>
          <w:b w:val="0"/>
          <w:sz w:val="22"/>
          <w:szCs w:val="22"/>
        </w:rPr>
        <w:t>:</w:t>
      </w:r>
    </w:p>
    <w:p w14:paraId="2FDD1768" w14:textId="77777777" w:rsidR="0075607C" w:rsidRPr="00EF26B6" w:rsidRDefault="0075607C" w:rsidP="0075607C">
      <w:pPr>
        <w:pStyle w:val="ListParagraph"/>
        <w:numPr>
          <w:ilvl w:val="0"/>
          <w:numId w:val="20"/>
        </w:numPr>
        <w:spacing w:after="20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u w:val="single"/>
        </w:rPr>
        <w:t>Hydro-Geologic Observations</w:t>
      </w:r>
      <w:r w:rsidRPr="00EF26B6">
        <w:rPr>
          <w:rStyle w:val="Strong"/>
          <w:rFonts w:asciiTheme="minorHAnsi" w:hAnsiTheme="minorHAnsi" w:cstheme="minorHAnsi"/>
          <w:b w:val="0"/>
          <w:sz w:val="22"/>
          <w:szCs w:val="22"/>
        </w:rPr>
        <w:t xml:space="preserve"> – Will consist of two map layers (Points and Polygons) for recording basic observations of springs and wetlands that may be supported by groundwater.</w:t>
      </w:r>
    </w:p>
    <w:p w14:paraId="535F943A" w14:textId="6236EE82" w:rsidR="007A7244" w:rsidRPr="00EF26B6" w:rsidRDefault="007A7244" w:rsidP="0075607C">
      <w:pPr>
        <w:pStyle w:val="ListParagraph"/>
        <w:numPr>
          <w:ilvl w:val="0"/>
          <w:numId w:val="20"/>
        </w:numPr>
        <w:spacing w:after="20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u w:val="single"/>
        </w:rPr>
        <w:t>GDE Features or Sites</w:t>
      </w:r>
      <w:r w:rsidRPr="00EF26B6">
        <w:rPr>
          <w:rStyle w:val="Strong"/>
          <w:rFonts w:asciiTheme="minorHAnsi" w:hAnsiTheme="minorHAnsi" w:cstheme="minorHAnsi"/>
          <w:b w:val="0"/>
          <w:sz w:val="22"/>
          <w:szCs w:val="22"/>
        </w:rPr>
        <w:t xml:space="preserve"> – Will consist of two map layers (Points and Polygons) for recording locations and aerial extent of GDE features such as springs, fens and other groundwater wetlands from Level I and II GDE inventories.</w:t>
      </w:r>
    </w:p>
    <w:p w14:paraId="6D0D4F52" w14:textId="56CBAEDD" w:rsidR="007A7244" w:rsidRPr="00EF26B6" w:rsidRDefault="0075607C" w:rsidP="0075607C">
      <w:pPr>
        <w:pStyle w:val="ListParagraph"/>
        <w:numPr>
          <w:ilvl w:val="0"/>
          <w:numId w:val="20"/>
        </w:numPr>
        <w:spacing w:after="20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u w:val="single"/>
        </w:rPr>
        <w:t>Hydrogeologic Units</w:t>
      </w:r>
      <w:r w:rsidRPr="00EF26B6">
        <w:rPr>
          <w:rStyle w:val="Strong"/>
          <w:rFonts w:asciiTheme="minorHAnsi" w:hAnsiTheme="minorHAnsi" w:cstheme="minorHAnsi"/>
          <w:b w:val="0"/>
          <w:sz w:val="22"/>
          <w:szCs w:val="22"/>
        </w:rPr>
        <w:t xml:space="preserve"> – Correspond to Figures 2-1 </w:t>
      </w:r>
      <w:r w:rsidR="007A7244" w:rsidRPr="00EF26B6">
        <w:rPr>
          <w:rStyle w:val="Strong"/>
          <w:rFonts w:asciiTheme="minorHAnsi" w:hAnsiTheme="minorHAnsi" w:cstheme="minorHAnsi"/>
          <w:b w:val="0"/>
          <w:sz w:val="22"/>
          <w:szCs w:val="22"/>
        </w:rPr>
        <w:t xml:space="preserve">(Legend) </w:t>
      </w:r>
      <w:r w:rsidRPr="00EF26B6">
        <w:rPr>
          <w:rStyle w:val="Strong"/>
          <w:rFonts w:asciiTheme="minorHAnsi" w:hAnsiTheme="minorHAnsi" w:cstheme="minorHAnsi"/>
          <w:b w:val="0"/>
          <w:sz w:val="22"/>
          <w:szCs w:val="22"/>
        </w:rPr>
        <w:t xml:space="preserve">and 2-2 </w:t>
      </w:r>
      <w:r w:rsidR="007A7244" w:rsidRPr="00EF26B6">
        <w:rPr>
          <w:rStyle w:val="Strong"/>
          <w:rFonts w:asciiTheme="minorHAnsi" w:hAnsiTheme="minorHAnsi" w:cstheme="minorHAnsi"/>
          <w:b w:val="0"/>
          <w:sz w:val="22"/>
          <w:szCs w:val="22"/>
        </w:rPr>
        <w:t xml:space="preserve">(Map of the </w:t>
      </w:r>
      <w:proofErr w:type="spellStart"/>
      <w:r w:rsidR="007A7244" w:rsidRPr="00EF26B6">
        <w:rPr>
          <w:rStyle w:val="Strong"/>
          <w:rFonts w:asciiTheme="minorHAnsi" w:hAnsiTheme="minorHAnsi" w:cstheme="minorHAnsi"/>
          <w:b w:val="0"/>
          <w:sz w:val="22"/>
          <w:szCs w:val="22"/>
        </w:rPr>
        <w:t>Fishlake</w:t>
      </w:r>
      <w:proofErr w:type="spellEnd"/>
      <w:r w:rsidR="007A7244" w:rsidRPr="00EF26B6">
        <w:rPr>
          <w:rStyle w:val="Strong"/>
          <w:rFonts w:asciiTheme="minorHAnsi" w:hAnsiTheme="minorHAnsi" w:cstheme="minorHAnsi"/>
          <w:b w:val="0"/>
          <w:sz w:val="22"/>
          <w:szCs w:val="22"/>
        </w:rPr>
        <w:t xml:space="preserve"> NF) </w:t>
      </w:r>
      <w:proofErr w:type="gramStart"/>
      <w:r w:rsidR="007A7244" w:rsidRPr="00EF26B6">
        <w:rPr>
          <w:rStyle w:val="Strong"/>
          <w:rFonts w:asciiTheme="minorHAnsi" w:hAnsiTheme="minorHAnsi" w:cstheme="minorHAnsi"/>
          <w:b w:val="0"/>
          <w:sz w:val="22"/>
          <w:szCs w:val="22"/>
        </w:rPr>
        <w:t xml:space="preserve">in </w:t>
      </w:r>
      <w:r w:rsidRPr="00EF26B6">
        <w:rPr>
          <w:rStyle w:val="Strong"/>
          <w:rFonts w:asciiTheme="minorHAnsi" w:hAnsiTheme="minorHAnsi" w:cstheme="minorHAnsi"/>
          <w:b w:val="0"/>
          <w:sz w:val="22"/>
          <w:szCs w:val="22"/>
        </w:rPr>
        <w:t xml:space="preserve"> the</w:t>
      </w:r>
      <w:proofErr w:type="gramEnd"/>
      <w:r w:rsidRPr="00EF26B6">
        <w:rPr>
          <w:rStyle w:val="Strong"/>
          <w:rFonts w:asciiTheme="minorHAnsi" w:hAnsiTheme="minorHAnsi" w:cstheme="minorHAnsi"/>
          <w:b w:val="0"/>
          <w:sz w:val="22"/>
          <w:szCs w:val="22"/>
        </w:rPr>
        <w:t xml:space="preserve"> IM&amp;A Technical Guide</w:t>
      </w:r>
      <w:r w:rsidR="007B015A" w:rsidRPr="00EF26B6">
        <w:rPr>
          <w:rStyle w:val="Strong"/>
          <w:rFonts w:asciiTheme="minorHAnsi" w:hAnsiTheme="minorHAnsi" w:cstheme="minorHAnsi"/>
          <w:b w:val="0"/>
          <w:sz w:val="22"/>
          <w:szCs w:val="22"/>
        </w:rPr>
        <w:t>.</w:t>
      </w:r>
    </w:p>
    <w:p w14:paraId="511B99D4" w14:textId="77777777" w:rsidR="007A7244" w:rsidRPr="00EF26B6" w:rsidRDefault="007A7244" w:rsidP="0075607C">
      <w:pPr>
        <w:pStyle w:val="ListParagraph"/>
        <w:numPr>
          <w:ilvl w:val="0"/>
          <w:numId w:val="20"/>
        </w:numPr>
        <w:spacing w:after="20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u w:val="single"/>
        </w:rPr>
        <w:t>Aquifer Vulnerability</w:t>
      </w:r>
      <w:r w:rsidRPr="00EF26B6">
        <w:rPr>
          <w:rStyle w:val="Strong"/>
          <w:rFonts w:asciiTheme="minorHAnsi" w:hAnsiTheme="minorHAnsi" w:cstheme="minorHAnsi"/>
          <w:b w:val="0"/>
          <w:sz w:val="22"/>
          <w:szCs w:val="22"/>
        </w:rPr>
        <w:t xml:space="preserve"> – Correspond to Figures 6-1 (Map of a portion of the Beaverhead-</w:t>
      </w:r>
      <w:proofErr w:type="spellStart"/>
      <w:r w:rsidRPr="00EF26B6">
        <w:rPr>
          <w:rStyle w:val="Strong"/>
          <w:rFonts w:asciiTheme="minorHAnsi" w:hAnsiTheme="minorHAnsi" w:cstheme="minorHAnsi"/>
          <w:b w:val="0"/>
          <w:sz w:val="22"/>
          <w:szCs w:val="22"/>
        </w:rPr>
        <w:t>Deerlodge</w:t>
      </w:r>
      <w:proofErr w:type="spellEnd"/>
      <w:r w:rsidRPr="00EF26B6">
        <w:rPr>
          <w:rStyle w:val="Strong"/>
          <w:rFonts w:asciiTheme="minorHAnsi" w:hAnsiTheme="minorHAnsi" w:cstheme="minorHAnsi"/>
          <w:b w:val="0"/>
          <w:sz w:val="22"/>
          <w:szCs w:val="22"/>
        </w:rPr>
        <w:t xml:space="preserve"> NF) and 6-2 (DRASTIC Model or legend for the map).</w:t>
      </w:r>
    </w:p>
    <w:p w14:paraId="206BEE50" w14:textId="0E38D8AC" w:rsidR="00811EF9" w:rsidRPr="00EF26B6" w:rsidRDefault="00811EF9" w:rsidP="00D73D31">
      <w:pPr>
        <w:spacing w:after="20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rPr>
        <w:t xml:space="preserve">Pete then provided additional detail on each of these </w:t>
      </w:r>
      <w:r w:rsidR="0067649F" w:rsidRPr="00EF26B6">
        <w:rPr>
          <w:rStyle w:val="Strong"/>
          <w:rFonts w:asciiTheme="minorHAnsi" w:hAnsiTheme="minorHAnsi" w:cstheme="minorHAnsi"/>
          <w:b w:val="0"/>
          <w:sz w:val="22"/>
          <w:szCs w:val="22"/>
        </w:rPr>
        <w:t xml:space="preserve">six </w:t>
      </w:r>
      <w:r w:rsidRPr="00EF26B6">
        <w:rPr>
          <w:rStyle w:val="Strong"/>
          <w:rFonts w:asciiTheme="minorHAnsi" w:hAnsiTheme="minorHAnsi" w:cstheme="minorHAnsi"/>
          <w:b w:val="0"/>
          <w:sz w:val="22"/>
          <w:szCs w:val="22"/>
        </w:rPr>
        <w:t>layers and their purposes.</w:t>
      </w:r>
    </w:p>
    <w:p w14:paraId="59C07B9E" w14:textId="5CF5841D" w:rsidR="00404EC0" w:rsidRPr="00EF26B6" w:rsidRDefault="00E66ED5" w:rsidP="00CC4318">
      <w:pPr>
        <w:pStyle w:val="CommentText"/>
        <w:ind w:left="72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u w:val="single"/>
        </w:rPr>
        <w:t>Observation layers</w:t>
      </w:r>
      <w:r w:rsidR="0067649F" w:rsidRPr="00EF26B6">
        <w:rPr>
          <w:rStyle w:val="Strong"/>
          <w:rFonts w:asciiTheme="minorHAnsi" w:hAnsiTheme="minorHAnsi" w:cstheme="minorHAnsi"/>
          <w:b w:val="0"/>
          <w:sz w:val="22"/>
          <w:szCs w:val="22"/>
          <w:u w:val="single"/>
        </w:rPr>
        <w:t xml:space="preserve"> (2 layers)</w:t>
      </w:r>
      <w:r w:rsidR="00811EF9" w:rsidRPr="00EF26B6">
        <w:rPr>
          <w:rStyle w:val="Strong"/>
          <w:rFonts w:asciiTheme="minorHAnsi" w:hAnsiTheme="minorHAnsi" w:cstheme="minorHAnsi"/>
          <w:b w:val="0"/>
          <w:sz w:val="22"/>
          <w:szCs w:val="22"/>
        </w:rPr>
        <w:t xml:space="preserve"> </w:t>
      </w:r>
      <w:r w:rsidR="00882780" w:rsidRPr="00EF26B6">
        <w:rPr>
          <w:rStyle w:val="Strong"/>
          <w:rFonts w:asciiTheme="minorHAnsi" w:hAnsiTheme="minorHAnsi" w:cstheme="minorHAnsi"/>
          <w:b w:val="0"/>
          <w:sz w:val="22"/>
          <w:szCs w:val="22"/>
        </w:rPr>
        <w:t>–</w:t>
      </w:r>
      <w:r w:rsidR="00811EF9" w:rsidRPr="00EF26B6">
        <w:rPr>
          <w:rStyle w:val="Strong"/>
          <w:rFonts w:asciiTheme="minorHAnsi" w:hAnsiTheme="minorHAnsi" w:cstheme="minorHAnsi"/>
          <w:b w:val="0"/>
          <w:sz w:val="22"/>
          <w:szCs w:val="22"/>
        </w:rPr>
        <w:t xml:space="preserve"> </w:t>
      </w:r>
      <w:r w:rsidRPr="00EF26B6">
        <w:rPr>
          <w:rStyle w:val="Strong"/>
          <w:rFonts w:asciiTheme="minorHAnsi" w:hAnsiTheme="minorHAnsi" w:cstheme="minorHAnsi"/>
          <w:b w:val="0"/>
          <w:sz w:val="22"/>
          <w:szCs w:val="22"/>
        </w:rPr>
        <w:t xml:space="preserve">This </w:t>
      </w:r>
      <w:r w:rsidR="00811EF9" w:rsidRPr="00EF26B6">
        <w:rPr>
          <w:rStyle w:val="Strong"/>
          <w:rFonts w:asciiTheme="minorHAnsi" w:hAnsiTheme="minorHAnsi" w:cstheme="minorHAnsi"/>
          <w:b w:val="0"/>
          <w:sz w:val="22"/>
          <w:szCs w:val="22"/>
        </w:rPr>
        <w:t>set of layers</w:t>
      </w:r>
      <w:r w:rsidRPr="00EF26B6">
        <w:rPr>
          <w:rStyle w:val="Strong"/>
          <w:rFonts w:asciiTheme="minorHAnsi" w:hAnsiTheme="minorHAnsi" w:cstheme="minorHAnsi"/>
          <w:b w:val="0"/>
          <w:sz w:val="22"/>
          <w:szCs w:val="22"/>
        </w:rPr>
        <w:t xml:space="preserve"> </w:t>
      </w:r>
      <w:r w:rsidR="00811EF9" w:rsidRPr="00EF26B6">
        <w:rPr>
          <w:rStyle w:val="Strong"/>
          <w:rFonts w:asciiTheme="minorHAnsi" w:hAnsiTheme="minorHAnsi" w:cstheme="minorHAnsi"/>
          <w:b w:val="0"/>
          <w:sz w:val="22"/>
          <w:szCs w:val="22"/>
        </w:rPr>
        <w:t xml:space="preserve">is designed to </w:t>
      </w:r>
      <w:r w:rsidR="00882780" w:rsidRPr="00EF26B6">
        <w:rPr>
          <w:rStyle w:val="Strong"/>
          <w:rFonts w:asciiTheme="minorHAnsi" w:hAnsiTheme="minorHAnsi" w:cstheme="minorHAnsi"/>
          <w:b w:val="0"/>
          <w:sz w:val="22"/>
          <w:szCs w:val="22"/>
        </w:rPr>
        <w:t xml:space="preserve">capture initial observations of </w:t>
      </w:r>
      <w:r w:rsidR="00811EF9" w:rsidRPr="00EF26B6">
        <w:rPr>
          <w:rStyle w:val="Strong"/>
          <w:rFonts w:asciiTheme="minorHAnsi" w:hAnsiTheme="minorHAnsi" w:cstheme="minorHAnsi"/>
          <w:b w:val="0"/>
          <w:sz w:val="22"/>
          <w:szCs w:val="22"/>
        </w:rPr>
        <w:t>springs and other potential groundwater dependent ecosystem sites and features</w:t>
      </w:r>
      <w:r w:rsidR="00882780" w:rsidRPr="00EF26B6">
        <w:rPr>
          <w:rStyle w:val="Strong"/>
          <w:rFonts w:asciiTheme="minorHAnsi" w:hAnsiTheme="minorHAnsi" w:cstheme="minorHAnsi"/>
          <w:b w:val="0"/>
          <w:sz w:val="22"/>
          <w:szCs w:val="22"/>
        </w:rPr>
        <w:t xml:space="preserve">.  </w:t>
      </w:r>
      <w:r w:rsidR="00404EC0" w:rsidRPr="00EF26B6">
        <w:rPr>
          <w:rStyle w:val="Strong"/>
          <w:rFonts w:asciiTheme="minorHAnsi" w:hAnsiTheme="minorHAnsi" w:cstheme="minorHAnsi"/>
          <w:b w:val="0"/>
          <w:sz w:val="22"/>
          <w:szCs w:val="22"/>
        </w:rPr>
        <w:t xml:space="preserve">A point layer captures smaller features such as springs and a polygon layer </w:t>
      </w:r>
      <w:r w:rsidR="00882780" w:rsidRPr="00EF26B6">
        <w:rPr>
          <w:rStyle w:val="Strong"/>
          <w:rFonts w:asciiTheme="minorHAnsi" w:hAnsiTheme="minorHAnsi" w:cstheme="minorHAnsi"/>
          <w:b w:val="0"/>
          <w:sz w:val="22"/>
          <w:szCs w:val="22"/>
        </w:rPr>
        <w:t xml:space="preserve">captures larger </w:t>
      </w:r>
      <w:r w:rsidR="00C72A99" w:rsidRPr="00EF26B6">
        <w:rPr>
          <w:rStyle w:val="Strong"/>
          <w:rFonts w:asciiTheme="minorHAnsi" w:hAnsiTheme="minorHAnsi" w:cstheme="minorHAnsi"/>
          <w:b w:val="0"/>
          <w:sz w:val="22"/>
          <w:szCs w:val="22"/>
        </w:rPr>
        <w:t>hydro-</w:t>
      </w:r>
      <w:r w:rsidR="00882780" w:rsidRPr="00EF26B6">
        <w:rPr>
          <w:rStyle w:val="Strong"/>
          <w:rFonts w:asciiTheme="minorHAnsi" w:hAnsiTheme="minorHAnsi" w:cstheme="minorHAnsi"/>
          <w:b w:val="0"/>
          <w:sz w:val="22"/>
          <w:szCs w:val="22"/>
        </w:rPr>
        <w:t xml:space="preserve">features such </w:t>
      </w:r>
      <w:r w:rsidR="00404EC0" w:rsidRPr="00EF26B6">
        <w:rPr>
          <w:rStyle w:val="Strong"/>
          <w:rFonts w:asciiTheme="minorHAnsi" w:hAnsiTheme="minorHAnsi" w:cstheme="minorHAnsi"/>
          <w:b w:val="0"/>
          <w:sz w:val="22"/>
          <w:szCs w:val="22"/>
        </w:rPr>
        <w:t>wetlands</w:t>
      </w:r>
      <w:r w:rsidR="00C72A99" w:rsidRPr="00EF26B6">
        <w:rPr>
          <w:rStyle w:val="Strong"/>
          <w:rFonts w:asciiTheme="minorHAnsi" w:hAnsiTheme="minorHAnsi" w:cstheme="minorHAnsi"/>
          <w:b w:val="0"/>
          <w:sz w:val="22"/>
          <w:szCs w:val="22"/>
        </w:rPr>
        <w:t>.</w:t>
      </w:r>
      <w:r w:rsidR="00404EC0" w:rsidRPr="00EF26B6">
        <w:t xml:space="preserve"> </w:t>
      </w:r>
      <w:r w:rsidR="00404EC0" w:rsidRPr="00EF26B6">
        <w:rPr>
          <w:rStyle w:val="Strong"/>
          <w:rFonts w:asciiTheme="minorHAnsi" w:hAnsiTheme="minorHAnsi" w:cstheme="minorHAnsi"/>
          <w:b w:val="0"/>
          <w:sz w:val="22"/>
          <w:szCs w:val="22"/>
        </w:rPr>
        <w:t xml:space="preserve">The attributes associated with these layer will be defined using a combination of the GDE Field Guide attributes from the GDE Database and other nationally defined </w:t>
      </w:r>
      <w:r w:rsidR="00C72A99" w:rsidRPr="00EF26B6">
        <w:rPr>
          <w:rStyle w:val="Strong"/>
          <w:rFonts w:asciiTheme="minorHAnsi" w:hAnsiTheme="minorHAnsi" w:cstheme="minorHAnsi"/>
          <w:b w:val="0"/>
          <w:sz w:val="22"/>
          <w:szCs w:val="22"/>
        </w:rPr>
        <w:t>classifications</w:t>
      </w:r>
      <w:r w:rsidR="00404EC0" w:rsidRPr="00EF26B6">
        <w:rPr>
          <w:rStyle w:val="Strong"/>
          <w:rFonts w:asciiTheme="minorHAnsi" w:hAnsiTheme="minorHAnsi" w:cstheme="minorHAnsi"/>
          <w:b w:val="0"/>
          <w:sz w:val="22"/>
          <w:szCs w:val="22"/>
        </w:rPr>
        <w:t xml:space="preserve"> such as</w:t>
      </w:r>
      <w:r w:rsidR="00C72A99" w:rsidRPr="00EF26B6">
        <w:rPr>
          <w:rStyle w:val="Strong"/>
          <w:rFonts w:asciiTheme="minorHAnsi" w:hAnsiTheme="minorHAnsi" w:cstheme="minorHAnsi"/>
          <w:b w:val="0"/>
          <w:sz w:val="22"/>
          <w:szCs w:val="22"/>
        </w:rPr>
        <w:t xml:space="preserve"> from</w:t>
      </w:r>
      <w:r w:rsidR="00404EC0" w:rsidRPr="00EF26B6">
        <w:rPr>
          <w:rStyle w:val="Strong"/>
          <w:rFonts w:asciiTheme="minorHAnsi" w:hAnsiTheme="minorHAnsi" w:cstheme="minorHAnsi"/>
          <w:b w:val="0"/>
          <w:sz w:val="22"/>
          <w:szCs w:val="22"/>
        </w:rPr>
        <w:t xml:space="preserve"> the National Wetlands Inventory and Army Cor</w:t>
      </w:r>
      <w:r w:rsidR="00617CFF" w:rsidRPr="00EF26B6">
        <w:rPr>
          <w:rStyle w:val="Strong"/>
          <w:rFonts w:asciiTheme="minorHAnsi" w:hAnsiTheme="minorHAnsi" w:cstheme="minorHAnsi"/>
          <w:b w:val="0"/>
          <w:sz w:val="22"/>
          <w:szCs w:val="22"/>
        </w:rPr>
        <w:t>ps</w:t>
      </w:r>
      <w:r w:rsidR="00404EC0" w:rsidRPr="00EF26B6">
        <w:rPr>
          <w:rStyle w:val="Strong"/>
          <w:rFonts w:asciiTheme="minorHAnsi" w:hAnsiTheme="minorHAnsi" w:cstheme="minorHAnsi"/>
          <w:b w:val="0"/>
          <w:sz w:val="22"/>
          <w:szCs w:val="22"/>
        </w:rPr>
        <w:t xml:space="preserve"> of Engineers.</w:t>
      </w:r>
      <w:r w:rsidR="00C72A99" w:rsidRPr="00EF26B6">
        <w:rPr>
          <w:rStyle w:val="Strong"/>
          <w:rFonts w:asciiTheme="minorHAnsi" w:hAnsiTheme="minorHAnsi" w:cstheme="minorHAnsi"/>
          <w:b w:val="0"/>
          <w:sz w:val="22"/>
          <w:szCs w:val="22"/>
        </w:rPr>
        <w:t xml:space="preserve"> Domains allowing dropdown data entry are provided for many fields.</w:t>
      </w:r>
    </w:p>
    <w:p w14:paraId="465FA442" w14:textId="77777777" w:rsidR="005927C5" w:rsidRPr="00EF26B6" w:rsidRDefault="005927C5" w:rsidP="00CC4318">
      <w:pPr>
        <w:pStyle w:val="CommentText"/>
        <w:ind w:left="720"/>
        <w:rPr>
          <w:rStyle w:val="Strong"/>
          <w:rFonts w:asciiTheme="minorHAnsi" w:hAnsiTheme="minorHAnsi" w:cstheme="minorHAnsi"/>
          <w:b w:val="0"/>
          <w:sz w:val="22"/>
          <w:szCs w:val="22"/>
        </w:rPr>
      </w:pPr>
    </w:p>
    <w:p w14:paraId="0359318E" w14:textId="2CE4EC0F" w:rsidR="005927C5" w:rsidRPr="00EF26B6" w:rsidRDefault="005927C5" w:rsidP="00CC4318">
      <w:pPr>
        <w:pStyle w:val="CommentText"/>
        <w:ind w:left="72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rPr>
        <w:t xml:space="preserve">These layers would reside in the unit’s GIS library as Hydro-Geologic Observations </w:t>
      </w:r>
      <w:r w:rsidR="00CC6BBB" w:rsidRPr="00EF26B6">
        <w:rPr>
          <w:rStyle w:val="Strong"/>
          <w:rFonts w:asciiTheme="minorHAnsi" w:hAnsiTheme="minorHAnsi" w:cstheme="minorHAnsi"/>
          <w:b w:val="0"/>
          <w:sz w:val="22"/>
          <w:szCs w:val="22"/>
        </w:rPr>
        <w:t xml:space="preserve">(poly and </w:t>
      </w:r>
      <w:proofErr w:type="spellStart"/>
      <w:r w:rsidR="00CC6BBB" w:rsidRPr="00EF26B6">
        <w:rPr>
          <w:rStyle w:val="Strong"/>
          <w:rFonts w:asciiTheme="minorHAnsi" w:hAnsiTheme="minorHAnsi" w:cstheme="minorHAnsi"/>
          <w:b w:val="0"/>
          <w:sz w:val="22"/>
          <w:szCs w:val="22"/>
        </w:rPr>
        <w:t>pt</w:t>
      </w:r>
      <w:proofErr w:type="spellEnd"/>
      <w:r w:rsidR="00CC6BBB" w:rsidRPr="00EF26B6">
        <w:rPr>
          <w:rStyle w:val="Strong"/>
          <w:rFonts w:asciiTheme="minorHAnsi" w:hAnsiTheme="minorHAnsi" w:cstheme="minorHAnsi"/>
          <w:b w:val="0"/>
          <w:sz w:val="22"/>
          <w:szCs w:val="22"/>
        </w:rPr>
        <w:t xml:space="preserve">) </w:t>
      </w:r>
      <w:r w:rsidRPr="00EF26B6">
        <w:rPr>
          <w:rStyle w:val="Strong"/>
          <w:rFonts w:asciiTheme="minorHAnsi" w:hAnsiTheme="minorHAnsi" w:cstheme="minorHAnsi"/>
          <w:b w:val="0"/>
          <w:sz w:val="22"/>
          <w:szCs w:val="22"/>
        </w:rPr>
        <w:t>available for use by all employees.  Methods for controlling data entry would be dependent on the unit’s workflow and be controlled by the hydrology data steward and GIS Data Manager.  The intent, however, is to allow the ability for employees to contribute observations</w:t>
      </w:r>
      <w:r w:rsidR="00CC6BBB" w:rsidRPr="00EF26B6">
        <w:rPr>
          <w:rStyle w:val="Strong"/>
          <w:rFonts w:asciiTheme="minorHAnsi" w:hAnsiTheme="minorHAnsi" w:cstheme="minorHAnsi"/>
          <w:b w:val="0"/>
          <w:sz w:val="22"/>
          <w:szCs w:val="22"/>
        </w:rPr>
        <w:t xml:space="preserve"> without undue barriers.</w:t>
      </w:r>
    </w:p>
    <w:p w14:paraId="3DAA78EF" w14:textId="77777777" w:rsidR="00404EC0" w:rsidRPr="00EF26B6" w:rsidRDefault="00404EC0" w:rsidP="00BE051D">
      <w:pPr>
        <w:pStyle w:val="CommentText"/>
        <w:ind w:left="810"/>
      </w:pPr>
    </w:p>
    <w:p w14:paraId="23EF9754" w14:textId="1FD3D178" w:rsidR="00CC4318" w:rsidRPr="00EF26B6" w:rsidRDefault="00811EF9" w:rsidP="0067649F">
      <w:pPr>
        <w:spacing w:after="200"/>
        <w:ind w:left="720"/>
        <w:rPr>
          <w:rFonts w:asciiTheme="minorHAnsi" w:hAnsiTheme="minorHAnsi"/>
          <w:sz w:val="22"/>
          <w:szCs w:val="22"/>
        </w:rPr>
      </w:pPr>
      <w:r w:rsidRPr="00EF26B6">
        <w:rPr>
          <w:rStyle w:val="Strong"/>
          <w:rFonts w:asciiTheme="minorHAnsi" w:hAnsiTheme="minorHAnsi" w:cstheme="minorHAnsi"/>
          <w:b w:val="0"/>
          <w:sz w:val="22"/>
          <w:szCs w:val="22"/>
        </w:rPr>
        <w:t>Observation d</w:t>
      </w:r>
      <w:r w:rsidR="00E66ED5" w:rsidRPr="00EF26B6">
        <w:rPr>
          <w:rStyle w:val="Strong"/>
          <w:rFonts w:asciiTheme="minorHAnsi" w:hAnsiTheme="minorHAnsi" w:cstheme="minorHAnsi"/>
          <w:b w:val="0"/>
          <w:sz w:val="22"/>
          <w:szCs w:val="22"/>
        </w:rPr>
        <w:t xml:space="preserve">ata could be collected by </w:t>
      </w:r>
      <w:r w:rsidR="005927C5" w:rsidRPr="00EF26B6">
        <w:rPr>
          <w:rStyle w:val="Strong"/>
          <w:rFonts w:asciiTheme="minorHAnsi" w:hAnsiTheme="minorHAnsi" w:cstheme="minorHAnsi"/>
          <w:b w:val="0"/>
          <w:sz w:val="22"/>
          <w:szCs w:val="22"/>
        </w:rPr>
        <w:t xml:space="preserve">a variety of observers such </w:t>
      </w:r>
      <w:r w:rsidR="00E66ED5" w:rsidRPr="00EF26B6">
        <w:rPr>
          <w:rStyle w:val="Strong"/>
          <w:rFonts w:asciiTheme="minorHAnsi" w:hAnsiTheme="minorHAnsi" w:cstheme="minorHAnsi"/>
          <w:b w:val="0"/>
          <w:sz w:val="22"/>
          <w:szCs w:val="22"/>
        </w:rPr>
        <w:t>fire</w:t>
      </w:r>
      <w:r w:rsidR="005927C5" w:rsidRPr="00EF26B6">
        <w:rPr>
          <w:rStyle w:val="Strong"/>
          <w:rFonts w:asciiTheme="minorHAnsi" w:hAnsiTheme="minorHAnsi" w:cstheme="minorHAnsi"/>
          <w:b w:val="0"/>
          <w:sz w:val="22"/>
          <w:szCs w:val="22"/>
        </w:rPr>
        <w:t xml:space="preserve">, wildlife, or range monitoring </w:t>
      </w:r>
      <w:r w:rsidR="00E66ED5" w:rsidRPr="00EF26B6">
        <w:rPr>
          <w:rStyle w:val="Strong"/>
          <w:rFonts w:asciiTheme="minorHAnsi" w:hAnsiTheme="minorHAnsi" w:cstheme="minorHAnsi"/>
          <w:b w:val="0"/>
          <w:sz w:val="22"/>
          <w:szCs w:val="22"/>
        </w:rPr>
        <w:t>crews</w:t>
      </w:r>
      <w:r w:rsidR="005927C5" w:rsidRPr="00EF26B6">
        <w:rPr>
          <w:rStyle w:val="Strong"/>
          <w:rFonts w:asciiTheme="minorHAnsi" w:hAnsiTheme="minorHAnsi" w:cstheme="minorHAnsi"/>
          <w:b w:val="0"/>
          <w:sz w:val="22"/>
          <w:szCs w:val="22"/>
        </w:rPr>
        <w:t xml:space="preserve">, then </w:t>
      </w:r>
      <w:r w:rsidR="00E66ED5" w:rsidRPr="00EF26B6">
        <w:rPr>
          <w:rStyle w:val="Strong"/>
          <w:rFonts w:asciiTheme="minorHAnsi" w:hAnsiTheme="minorHAnsi" w:cstheme="minorHAnsi"/>
          <w:b w:val="0"/>
          <w:sz w:val="22"/>
          <w:szCs w:val="22"/>
        </w:rPr>
        <w:t>entered into the layer</w:t>
      </w:r>
      <w:r w:rsidR="005927C5" w:rsidRPr="00EF26B6">
        <w:rPr>
          <w:rStyle w:val="Strong"/>
          <w:rFonts w:asciiTheme="minorHAnsi" w:hAnsiTheme="minorHAnsi" w:cstheme="minorHAnsi"/>
          <w:b w:val="0"/>
          <w:sz w:val="22"/>
          <w:szCs w:val="22"/>
        </w:rPr>
        <w:t>s</w:t>
      </w:r>
      <w:r w:rsidR="00E66ED5" w:rsidRPr="00EF26B6">
        <w:rPr>
          <w:rStyle w:val="Strong"/>
          <w:rFonts w:asciiTheme="minorHAnsi" w:hAnsiTheme="minorHAnsi" w:cstheme="minorHAnsi"/>
          <w:b w:val="0"/>
          <w:sz w:val="22"/>
          <w:szCs w:val="22"/>
        </w:rPr>
        <w:t xml:space="preserve">. </w:t>
      </w:r>
      <w:r w:rsidRPr="00EF26B6">
        <w:rPr>
          <w:rStyle w:val="Strong"/>
          <w:rFonts w:asciiTheme="minorHAnsi" w:hAnsiTheme="minorHAnsi" w:cstheme="minorHAnsi"/>
          <w:b w:val="0"/>
          <w:sz w:val="22"/>
          <w:szCs w:val="22"/>
        </w:rPr>
        <w:t xml:space="preserve"> </w:t>
      </w:r>
      <w:r w:rsidR="00CC4318" w:rsidRPr="00EF26B6">
        <w:rPr>
          <w:rFonts w:asciiTheme="minorHAnsi" w:hAnsiTheme="minorHAnsi"/>
          <w:sz w:val="22"/>
          <w:szCs w:val="22"/>
        </w:rPr>
        <w:t>At the initial observation stage it may not be possible to distinguish groundwater dependent features from similar surface water dependent features.  Therefore, these layers become a repository for both.</w:t>
      </w:r>
    </w:p>
    <w:p w14:paraId="10A26D89" w14:textId="51F622C3" w:rsidR="001B4D53" w:rsidRPr="00EF26B6" w:rsidRDefault="00882780" w:rsidP="00CC4318">
      <w:pPr>
        <w:spacing w:after="200"/>
        <w:ind w:left="72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rPr>
        <w:t xml:space="preserve">The data dictionary could be loaded on field recorders to facilitate data capture.  Larger features could be digitized directly into the layers using </w:t>
      </w:r>
      <w:proofErr w:type="gramStart"/>
      <w:r w:rsidRPr="00EF26B6">
        <w:rPr>
          <w:rStyle w:val="Strong"/>
          <w:rFonts w:asciiTheme="minorHAnsi" w:hAnsiTheme="minorHAnsi" w:cstheme="minorHAnsi"/>
          <w:b w:val="0"/>
          <w:sz w:val="22"/>
          <w:szCs w:val="22"/>
        </w:rPr>
        <w:t>high resolution</w:t>
      </w:r>
      <w:proofErr w:type="gramEnd"/>
      <w:r w:rsidRPr="00EF26B6">
        <w:rPr>
          <w:rStyle w:val="Strong"/>
          <w:rFonts w:asciiTheme="minorHAnsi" w:hAnsiTheme="minorHAnsi" w:cstheme="minorHAnsi"/>
          <w:b w:val="0"/>
          <w:sz w:val="22"/>
          <w:szCs w:val="22"/>
        </w:rPr>
        <w:t xml:space="preserve"> background imagery</w:t>
      </w:r>
      <w:r w:rsidR="00CC4318" w:rsidRPr="00EF26B6">
        <w:rPr>
          <w:rStyle w:val="Strong"/>
          <w:rFonts w:asciiTheme="minorHAnsi" w:hAnsiTheme="minorHAnsi" w:cstheme="minorHAnsi"/>
          <w:b w:val="0"/>
          <w:sz w:val="22"/>
          <w:szCs w:val="22"/>
        </w:rPr>
        <w:t xml:space="preserve"> (e.g., </w:t>
      </w:r>
      <w:r w:rsidR="00C72A99" w:rsidRPr="00EF26B6">
        <w:rPr>
          <w:rStyle w:val="Strong"/>
          <w:rFonts w:asciiTheme="minorHAnsi" w:hAnsiTheme="minorHAnsi" w:cstheme="minorHAnsi"/>
          <w:b w:val="0"/>
          <w:sz w:val="22"/>
          <w:szCs w:val="22"/>
        </w:rPr>
        <w:t>CIR NAIP imagery</w:t>
      </w:r>
      <w:r w:rsidR="00CC4318" w:rsidRPr="00EF26B6">
        <w:rPr>
          <w:rStyle w:val="Strong"/>
          <w:rFonts w:asciiTheme="minorHAnsi" w:hAnsiTheme="minorHAnsi" w:cstheme="minorHAnsi"/>
          <w:b w:val="0"/>
          <w:sz w:val="22"/>
          <w:szCs w:val="22"/>
        </w:rPr>
        <w:t>)</w:t>
      </w:r>
      <w:r w:rsidRPr="00EF26B6">
        <w:rPr>
          <w:rStyle w:val="Strong"/>
          <w:rFonts w:asciiTheme="minorHAnsi" w:hAnsiTheme="minorHAnsi" w:cstheme="minorHAnsi"/>
          <w:b w:val="0"/>
          <w:sz w:val="22"/>
          <w:szCs w:val="22"/>
        </w:rPr>
        <w:t>.</w:t>
      </w:r>
      <w:r w:rsidR="00CC4318" w:rsidRPr="00EF26B6">
        <w:rPr>
          <w:rStyle w:val="Strong"/>
          <w:rFonts w:asciiTheme="minorHAnsi" w:hAnsiTheme="minorHAnsi" w:cstheme="minorHAnsi"/>
          <w:b w:val="0"/>
          <w:sz w:val="22"/>
          <w:szCs w:val="22"/>
        </w:rPr>
        <w:t xml:space="preserve">  </w:t>
      </w:r>
      <w:r w:rsidR="001B4D53" w:rsidRPr="00EF26B6">
        <w:rPr>
          <w:rStyle w:val="Strong"/>
          <w:rFonts w:asciiTheme="minorHAnsi" w:hAnsiTheme="minorHAnsi" w:cstheme="minorHAnsi"/>
          <w:b w:val="0"/>
          <w:sz w:val="22"/>
          <w:szCs w:val="22"/>
        </w:rPr>
        <w:t xml:space="preserve">Other sources of data to populate the observation layers could include: spring locations noted on USGS quads or in NHD data and other legacy datasets, for example forest generated spring and wetland inventories. </w:t>
      </w:r>
    </w:p>
    <w:p w14:paraId="57D7FEA1" w14:textId="77777777" w:rsidR="00404EC0" w:rsidRPr="00EF26B6" w:rsidRDefault="00404EC0" w:rsidP="00404EC0">
      <w:pPr>
        <w:spacing w:after="200"/>
        <w:ind w:left="72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rPr>
        <w:t xml:space="preserve">The purposes of these layers are: </w:t>
      </w:r>
    </w:p>
    <w:p w14:paraId="157E1D93" w14:textId="7C427BCE" w:rsidR="00404EC0" w:rsidRPr="00EF26B6" w:rsidRDefault="00404EC0" w:rsidP="00CC4318">
      <w:pPr>
        <w:pStyle w:val="CommentText"/>
        <w:numPr>
          <w:ilvl w:val="0"/>
          <w:numId w:val="23"/>
        </w:numPr>
        <w:rPr>
          <w:rStyle w:val="Strong"/>
          <w:rFonts w:asciiTheme="minorHAnsi" w:hAnsiTheme="minorHAnsi" w:cstheme="minorHAnsi"/>
          <w:b w:val="0"/>
          <w:sz w:val="22"/>
          <w:szCs w:val="22"/>
        </w:rPr>
      </w:pPr>
      <w:r w:rsidRPr="00EF26B6">
        <w:rPr>
          <w:rStyle w:val="Strong"/>
          <w:rFonts w:asciiTheme="minorHAnsi" w:hAnsiTheme="minorHAnsi" w:cstheme="minorHAnsi"/>
          <w:b w:val="0"/>
          <w:i/>
          <w:sz w:val="22"/>
          <w:szCs w:val="22"/>
        </w:rPr>
        <w:t xml:space="preserve">To capture </w:t>
      </w:r>
      <w:r w:rsidR="00882780" w:rsidRPr="00EF26B6">
        <w:rPr>
          <w:rStyle w:val="Strong"/>
          <w:rFonts w:asciiTheme="minorHAnsi" w:hAnsiTheme="minorHAnsi" w:cstheme="minorHAnsi"/>
          <w:b w:val="0"/>
          <w:i/>
          <w:sz w:val="22"/>
          <w:szCs w:val="22"/>
        </w:rPr>
        <w:t xml:space="preserve">initial </w:t>
      </w:r>
      <w:r w:rsidRPr="00EF26B6">
        <w:rPr>
          <w:rStyle w:val="Strong"/>
          <w:rFonts w:asciiTheme="minorHAnsi" w:hAnsiTheme="minorHAnsi" w:cstheme="minorHAnsi"/>
          <w:b w:val="0"/>
          <w:i/>
          <w:sz w:val="22"/>
          <w:szCs w:val="22"/>
        </w:rPr>
        <w:t>observations of GDE features/sites or potential sites for more detailed inventory (i.e., Level I or Level II GDE inventory) if there is a business need</w:t>
      </w:r>
      <w:r w:rsidRPr="00EF26B6">
        <w:rPr>
          <w:rStyle w:val="Strong"/>
          <w:rFonts w:asciiTheme="minorHAnsi" w:hAnsiTheme="minorHAnsi" w:cstheme="minorHAnsi"/>
          <w:b w:val="0"/>
          <w:sz w:val="22"/>
          <w:szCs w:val="22"/>
        </w:rPr>
        <w:t xml:space="preserve">.  </w:t>
      </w:r>
      <w:r w:rsidR="00882780" w:rsidRPr="00EF26B6">
        <w:rPr>
          <w:rStyle w:val="Strong"/>
          <w:rFonts w:asciiTheme="minorHAnsi" w:hAnsiTheme="minorHAnsi" w:cstheme="minorHAnsi"/>
          <w:b w:val="0"/>
          <w:sz w:val="22"/>
          <w:szCs w:val="22"/>
        </w:rPr>
        <w:t xml:space="preserve">At </w:t>
      </w:r>
      <w:r w:rsidR="00882780" w:rsidRPr="00EF26B6">
        <w:rPr>
          <w:rStyle w:val="Strong"/>
          <w:rFonts w:asciiTheme="minorHAnsi" w:hAnsiTheme="minorHAnsi" w:cstheme="minorHAnsi"/>
          <w:b w:val="0"/>
          <w:sz w:val="22"/>
          <w:szCs w:val="22"/>
        </w:rPr>
        <w:lastRenderedPageBreak/>
        <w:t xml:space="preserve">the initial observation stage, it may not be possible to distinguish groundwater dependent features from similar surface water dependent features.  These layers become a repository for both.  </w:t>
      </w:r>
    </w:p>
    <w:p w14:paraId="4670BEBD" w14:textId="77777777" w:rsidR="00882780" w:rsidRPr="00EF26B6" w:rsidRDefault="00882780" w:rsidP="00CC4318">
      <w:pPr>
        <w:pStyle w:val="CommentText"/>
        <w:ind w:left="810"/>
        <w:rPr>
          <w:rStyle w:val="Strong"/>
          <w:rFonts w:asciiTheme="minorHAnsi" w:hAnsiTheme="minorHAnsi" w:cstheme="minorHAnsi"/>
          <w:b w:val="0"/>
          <w:sz w:val="22"/>
          <w:szCs w:val="22"/>
        </w:rPr>
      </w:pPr>
    </w:p>
    <w:p w14:paraId="15065C04" w14:textId="13E32D9E" w:rsidR="00404EC0" w:rsidRPr="00EF26B6" w:rsidRDefault="00404EC0" w:rsidP="00CC4318">
      <w:pPr>
        <w:pStyle w:val="ListParagraph"/>
        <w:numPr>
          <w:ilvl w:val="0"/>
          <w:numId w:val="22"/>
        </w:numPr>
        <w:spacing w:after="200"/>
        <w:rPr>
          <w:rStyle w:val="Strong"/>
          <w:rFonts w:asciiTheme="minorHAnsi" w:hAnsiTheme="minorHAnsi" w:cstheme="minorHAnsi"/>
          <w:b w:val="0"/>
          <w:sz w:val="22"/>
          <w:szCs w:val="22"/>
        </w:rPr>
      </w:pPr>
      <w:r w:rsidRPr="00EF26B6">
        <w:rPr>
          <w:rStyle w:val="Strong"/>
          <w:rFonts w:asciiTheme="minorHAnsi" w:hAnsiTheme="minorHAnsi" w:cstheme="minorHAnsi"/>
          <w:b w:val="0"/>
          <w:i/>
          <w:sz w:val="22"/>
          <w:szCs w:val="22"/>
        </w:rPr>
        <w:t xml:space="preserve">To record potential sites or features that </w:t>
      </w:r>
      <w:r w:rsidR="001B4D53" w:rsidRPr="00EF26B6">
        <w:rPr>
          <w:rStyle w:val="Strong"/>
          <w:rFonts w:asciiTheme="minorHAnsi" w:hAnsiTheme="minorHAnsi" w:cstheme="minorHAnsi"/>
          <w:b w:val="0"/>
          <w:i/>
          <w:sz w:val="22"/>
          <w:szCs w:val="22"/>
        </w:rPr>
        <w:t xml:space="preserve">can be used to address potential </w:t>
      </w:r>
      <w:r w:rsidR="004B5B72" w:rsidRPr="00EF26B6">
        <w:rPr>
          <w:rStyle w:val="Strong"/>
          <w:rFonts w:asciiTheme="minorHAnsi" w:hAnsiTheme="minorHAnsi" w:cstheme="minorHAnsi"/>
          <w:b w:val="0"/>
          <w:i/>
          <w:sz w:val="22"/>
          <w:szCs w:val="22"/>
        </w:rPr>
        <w:t xml:space="preserve">effects </w:t>
      </w:r>
      <w:r w:rsidRPr="00EF26B6">
        <w:rPr>
          <w:rStyle w:val="Strong"/>
          <w:rFonts w:asciiTheme="minorHAnsi" w:hAnsiTheme="minorHAnsi" w:cstheme="minorHAnsi"/>
          <w:b w:val="0"/>
          <w:i/>
          <w:sz w:val="22"/>
          <w:szCs w:val="22"/>
        </w:rPr>
        <w:t xml:space="preserve">during </w:t>
      </w:r>
      <w:r w:rsidR="004B5B72" w:rsidRPr="00EF26B6">
        <w:rPr>
          <w:rStyle w:val="Strong"/>
          <w:rFonts w:asciiTheme="minorHAnsi" w:hAnsiTheme="minorHAnsi" w:cstheme="minorHAnsi"/>
          <w:b w:val="0"/>
          <w:i/>
          <w:sz w:val="22"/>
          <w:szCs w:val="22"/>
        </w:rPr>
        <w:t>project design, and analysis</w:t>
      </w:r>
      <w:r w:rsidRPr="00EF26B6">
        <w:rPr>
          <w:rStyle w:val="Strong"/>
          <w:rFonts w:asciiTheme="minorHAnsi" w:hAnsiTheme="minorHAnsi" w:cstheme="minorHAnsi"/>
          <w:b w:val="0"/>
          <w:i/>
          <w:sz w:val="22"/>
          <w:szCs w:val="22"/>
        </w:rPr>
        <w:t>, which is an important business needs on all NF units.</w:t>
      </w:r>
      <w:r w:rsidRPr="00EF26B6">
        <w:rPr>
          <w:rStyle w:val="Strong"/>
          <w:rFonts w:asciiTheme="minorHAnsi" w:hAnsiTheme="minorHAnsi" w:cstheme="minorHAnsi"/>
          <w:b w:val="0"/>
          <w:sz w:val="22"/>
          <w:szCs w:val="22"/>
        </w:rPr>
        <w:t xml:space="preserve">  Having information on the location of these features for project planning meets an important business need as demonstrated by agency staff who have been participating in the “0.5 GDE inventory group” discussions.</w:t>
      </w:r>
    </w:p>
    <w:p w14:paraId="33EBE191" w14:textId="4684559D" w:rsidR="00E66ED5" w:rsidRPr="00EF26B6" w:rsidRDefault="0076624E" w:rsidP="0067649F">
      <w:pPr>
        <w:spacing w:after="200"/>
        <w:ind w:left="72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u w:val="single"/>
        </w:rPr>
        <w:t>GDE L</w:t>
      </w:r>
      <w:r w:rsidR="00E66ED5" w:rsidRPr="00EF26B6">
        <w:rPr>
          <w:rStyle w:val="Strong"/>
          <w:rFonts w:asciiTheme="minorHAnsi" w:hAnsiTheme="minorHAnsi" w:cstheme="minorHAnsi"/>
          <w:b w:val="0"/>
          <w:sz w:val="22"/>
          <w:szCs w:val="22"/>
          <w:u w:val="single"/>
        </w:rPr>
        <w:t>ayers</w:t>
      </w:r>
      <w:r w:rsidR="0067649F" w:rsidRPr="00EF26B6">
        <w:rPr>
          <w:rStyle w:val="Strong"/>
          <w:rFonts w:asciiTheme="minorHAnsi" w:hAnsiTheme="minorHAnsi" w:cstheme="minorHAnsi"/>
          <w:b w:val="0"/>
          <w:sz w:val="22"/>
          <w:szCs w:val="22"/>
        </w:rPr>
        <w:t xml:space="preserve"> (2 layers) -</w:t>
      </w:r>
      <w:r w:rsidR="00E66ED5" w:rsidRPr="00EF26B6">
        <w:rPr>
          <w:rStyle w:val="Strong"/>
          <w:rFonts w:asciiTheme="minorHAnsi" w:hAnsiTheme="minorHAnsi" w:cstheme="minorHAnsi"/>
          <w:b w:val="0"/>
          <w:sz w:val="22"/>
          <w:szCs w:val="22"/>
        </w:rPr>
        <w:t xml:space="preserve"> There ar</w:t>
      </w:r>
      <w:r w:rsidR="00A34A2D" w:rsidRPr="00EF26B6">
        <w:rPr>
          <w:rStyle w:val="Strong"/>
          <w:rFonts w:asciiTheme="minorHAnsi" w:hAnsiTheme="minorHAnsi" w:cstheme="minorHAnsi"/>
          <w:b w:val="0"/>
          <w:sz w:val="22"/>
          <w:szCs w:val="22"/>
        </w:rPr>
        <w:t>e two layers associated with inventories resulting from use of the</w:t>
      </w:r>
      <w:r w:rsidR="00E66ED5" w:rsidRPr="00EF26B6">
        <w:rPr>
          <w:rStyle w:val="Strong"/>
          <w:rFonts w:asciiTheme="minorHAnsi" w:hAnsiTheme="minorHAnsi" w:cstheme="minorHAnsi"/>
          <w:b w:val="0"/>
          <w:sz w:val="22"/>
          <w:szCs w:val="22"/>
        </w:rPr>
        <w:t xml:space="preserve"> GDE Field Guide</w:t>
      </w:r>
      <w:r w:rsidR="00A34A2D" w:rsidRPr="00EF26B6">
        <w:rPr>
          <w:rStyle w:val="Strong"/>
          <w:rFonts w:asciiTheme="minorHAnsi" w:hAnsiTheme="minorHAnsi" w:cstheme="minorHAnsi"/>
          <w:b w:val="0"/>
          <w:sz w:val="22"/>
          <w:szCs w:val="22"/>
        </w:rPr>
        <w:t>s</w:t>
      </w:r>
      <w:r w:rsidR="00E66ED5" w:rsidRPr="00EF26B6">
        <w:rPr>
          <w:rStyle w:val="Strong"/>
          <w:rFonts w:asciiTheme="minorHAnsi" w:hAnsiTheme="minorHAnsi" w:cstheme="minorHAnsi"/>
          <w:b w:val="0"/>
          <w:sz w:val="22"/>
          <w:szCs w:val="22"/>
        </w:rPr>
        <w:t xml:space="preserve"> – a point and polygon layer</w:t>
      </w:r>
      <w:r w:rsidR="00A34A2D" w:rsidRPr="00EF26B6">
        <w:rPr>
          <w:rStyle w:val="Strong"/>
          <w:rFonts w:asciiTheme="minorHAnsi" w:hAnsiTheme="minorHAnsi" w:cstheme="minorHAnsi"/>
          <w:b w:val="0"/>
          <w:sz w:val="22"/>
          <w:szCs w:val="22"/>
        </w:rPr>
        <w:t xml:space="preserve"> of GDE features</w:t>
      </w:r>
      <w:r w:rsidRPr="00EF26B6">
        <w:rPr>
          <w:rStyle w:val="Strong"/>
          <w:rFonts w:asciiTheme="minorHAnsi" w:hAnsiTheme="minorHAnsi" w:cstheme="minorHAnsi"/>
          <w:b w:val="0"/>
          <w:sz w:val="22"/>
          <w:szCs w:val="22"/>
        </w:rPr>
        <w:t xml:space="preserve"> or sites</w:t>
      </w:r>
      <w:r w:rsidR="00E66ED5" w:rsidRPr="00EF26B6">
        <w:rPr>
          <w:rStyle w:val="Strong"/>
          <w:rFonts w:asciiTheme="minorHAnsi" w:hAnsiTheme="minorHAnsi" w:cstheme="minorHAnsi"/>
          <w:b w:val="0"/>
          <w:sz w:val="22"/>
          <w:szCs w:val="22"/>
        </w:rPr>
        <w:t xml:space="preserve">. The point layer will </w:t>
      </w:r>
      <w:r w:rsidR="00A34A2D" w:rsidRPr="00EF26B6">
        <w:rPr>
          <w:rStyle w:val="Strong"/>
          <w:rFonts w:asciiTheme="minorHAnsi" w:hAnsiTheme="minorHAnsi" w:cstheme="minorHAnsi"/>
          <w:b w:val="0"/>
          <w:sz w:val="22"/>
          <w:szCs w:val="22"/>
        </w:rPr>
        <w:t xml:space="preserve">typically </w:t>
      </w:r>
      <w:r w:rsidR="00C72A99" w:rsidRPr="00EF26B6">
        <w:rPr>
          <w:rStyle w:val="Strong"/>
          <w:rFonts w:asciiTheme="minorHAnsi" w:hAnsiTheme="minorHAnsi" w:cstheme="minorHAnsi"/>
          <w:b w:val="0"/>
          <w:sz w:val="22"/>
          <w:szCs w:val="22"/>
        </w:rPr>
        <w:t xml:space="preserve">capture </w:t>
      </w:r>
      <w:r w:rsidRPr="00EF26B6">
        <w:rPr>
          <w:rStyle w:val="Strong"/>
          <w:rFonts w:asciiTheme="minorHAnsi" w:hAnsiTheme="minorHAnsi" w:cstheme="minorHAnsi"/>
          <w:b w:val="0"/>
          <w:sz w:val="22"/>
          <w:szCs w:val="22"/>
        </w:rPr>
        <w:t>the location of</w:t>
      </w:r>
      <w:r w:rsidR="00E66ED5" w:rsidRPr="00EF26B6">
        <w:rPr>
          <w:rStyle w:val="Strong"/>
          <w:rFonts w:asciiTheme="minorHAnsi" w:hAnsiTheme="minorHAnsi" w:cstheme="minorHAnsi"/>
          <w:b w:val="0"/>
          <w:sz w:val="22"/>
          <w:szCs w:val="22"/>
        </w:rPr>
        <w:t xml:space="preserve"> </w:t>
      </w:r>
      <w:r w:rsidR="00A34A2D" w:rsidRPr="00EF26B6">
        <w:rPr>
          <w:rStyle w:val="Strong"/>
          <w:rFonts w:asciiTheme="minorHAnsi" w:hAnsiTheme="minorHAnsi" w:cstheme="minorHAnsi"/>
          <w:b w:val="0"/>
          <w:sz w:val="22"/>
          <w:szCs w:val="22"/>
        </w:rPr>
        <w:t xml:space="preserve">smaller </w:t>
      </w:r>
      <w:r w:rsidR="00E66ED5" w:rsidRPr="00EF26B6">
        <w:rPr>
          <w:rStyle w:val="Strong"/>
          <w:rFonts w:asciiTheme="minorHAnsi" w:hAnsiTheme="minorHAnsi" w:cstheme="minorHAnsi"/>
          <w:b w:val="0"/>
          <w:sz w:val="22"/>
          <w:szCs w:val="22"/>
        </w:rPr>
        <w:t>springs (point feature)</w:t>
      </w:r>
      <w:r w:rsidRPr="00EF26B6">
        <w:rPr>
          <w:rStyle w:val="Strong"/>
          <w:rFonts w:asciiTheme="minorHAnsi" w:hAnsiTheme="minorHAnsi" w:cstheme="minorHAnsi"/>
          <w:b w:val="0"/>
          <w:sz w:val="22"/>
          <w:szCs w:val="22"/>
        </w:rPr>
        <w:t xml:space="preserve"> </w:t>
      </w:r>
      <w:r w:rsidR="00E66ED5" w:rsidRPr="00EF26B6">
        <w:rPr>
          <w:rStyle w:val="Strong"/>
          <w:rFonts w:asciiTheme="minorHAnsi" w:hAnsiTheme="minorHAnsi" w:cstheme="minorHAnsi"/>
          <w:b w:val="0"/>
          <w:sz w:val="22"/>
          <w:szCs w:val="22"/>
        </w:rPr>
        <w:t xml:space="preserve">and the polygon layer </w:t>
      </w:r>
      <w:r w:rsidRPr="00EF26B6">
        <w:rPr>
          <w:rStyle w:val="Strong"/>
          <w:rFonts w:asciiTheme="minorHAnsi" w:hAnsiTheme="minorHAnsi" w:cstheme="minorHAnsi"/>
          <w:b w:val="0"/>
          <w:sz w:val="22"/>
          <w:szCs w:val="22"/>
        </w:rPr>
        <w:t>will capture the extent of</w:t>
      </w:r>
      <w:r w:rsidR="00E66ED5" w:rsidRPr="00EF26B6">
        <w:rPr>
          <w:rStyle w:val="Strong"/>
          <w:rFonts w:asciiTheme="minorHAnsi" w:hAnsiTheme="minorHAnsi" w:cstheme="minorHAnsi"/>
          <w:b w:val="0"/>
          <w:sz w:val="22"/>
          <w:szCs w:val="22"/>
        </w:rPr>
        <w:t xml:space="preserve"> larger features such as </w:t>
      </w:r>
      <w:r w:rsidRPr="00EF26B6">
        <w:rPr>
          <w:rStyle w:val="Strong"/>
          <w:rFonts w:asciiTheme="minorHAnsi" w:hAnsiTheme="minorHAnsi" w:cstheme="minorHAnsi"/>
          <w:b w:val="0"/>
          <w:sz w:val="22"/>
          <w:szCs w:val="22"/>
        </w:rPr>
        <w:t xml:space="preserve">groundwater-supported </w:t>
      </w:r>
      <w:r w:rsidR="00E66ED5" w:rsidRPr="00EF26B6">
        <w:rPr>
          <w:rStyle w:val="Strong"/>
          <w:rFonts w:asciiTheme="minorHAnsi" w:hAnsiTheme="minorHAnsi" w:cstheme="minorHAnsi"/>
          <w:b w:val="0"/>
          <w:sz w:val="22"/>
          <w:szCs w:val="22"/>
        </w:rPr>
        <w:t>wetlands</w:t>
      </w:r>
      <w:r w:rsidR="00A34A2D" w:rsidRPr="00EF26B6">
        <w:rPr>
          <w:rStyle w:val="Strong"/>
          <w:rFonts w:asciiTheme="minorHAnsi" w:hAnsiTheme="minorHAnsi" w:cstheme="minorHAnsi"/>
          <w:b w:val="0"/>
          <w:sz w:val="22"/>
          <w:szCs w:val="22"/>
        </w:rPr>
        <w:t xml:space="preserve"> and more extensive spring</w:t>
      </w:r>
      <w:r w:rsidRPr="00EF26B6">
        <w:rPr>
          <w:rStyle w:val="Strong"/>
          <w:rFonts w:asciiTheme="minorHAnsi" w:hAnsiTheme="minorHAnsi" w:cstheme="minorHAnsi"/>
          <w:b w:val="0"/>
          <w:sz w:val="22"/>
          <w:szCs w:val="22"/>
        </w:rPr>
        <w:t xml:space="preserve"> </w:t>
      </w:r>
      <w:r w:rsidR="00A34A2D" w:rsidRPr="00EF26B6">
        <w:rPr>
          <w:rStyle w:val="Strong"/>
          <w:rFonts w:asciiTheme="minorHAnsi" w:hAnsiTheme="minorHAnsi" w:cstheme="minorHAnsi"/>
          <w:b w:val="0"/>
          <w:sz w:val="22"/>
          <w:szCs w:val="22"/>
        </w:rPr>
        <w:t>s</w:t>
      </w:r>
      <w:r w:rsidRPr="00EF26B6">
        <w:rPr>
          <w:rStyle w:val="Strong"/>
          <w:rFonts w:asciiTheme="minorHAnsi" w:hAnsiTheme="minorHAnsi" w:cstheme="minorHAnsi"/>
          <w:b w:val="0"/>
          <w:sz w:val="22"/>
          <w:szCs w:val="22"/>
        </w:rPr>
        <w:t>ites</w:t>
      </w:r>
      <w:r w:rsidR="00A34A2D" w:rsidRPr="00EF26B6">
        <w:rPr>
          <w:rStyle w:val="Strong"/>
          <w:rFonts w:asciiTheme="minorHAnsi" w:hAnsiTheme="minorHAnsi" w:cstheme="minorHAnsi"/>
          <w:b w:val="0"/>
          <w:sz w:val="22"/>
          <w:szCs w:val="22"/>
        </w:rPr>
        <w:t>.  The point and polygon information will be linked to the GDE database and eventually the NRM application that replaces the MS Access database.  Domain or attribute information for these layers is identical to the choices in the GDE database so they are aligned and provide the ability to transfer between systems.</w:t>
      </w:r>
    </w:p>
    <w:p w14:paraId="2A818691" w14:textId="77777777" w:rsidR="0076624E" w:rsidRPr="00EF26B6" w:rsidRDefault="0076624E" w:rsidP="0067649F">
      <w:pPr>
        <w:spacing w:after="200"/>
        <w:ind w:left="72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rPr>
        <w:t>In terms of workflow and relationships between the “Observation” and “GDE Layers”:</w:t>
      </w:r>
    </w:p>
    <w:p w14:paraId="014BFB65" w14:textId="0B428630" w:rsidR="0076624E" w:rsidRPr="00EF26B6" w:rsidRDefault="0076624E" w:rsidP="0067649F">
      <w:pPr>
        <w:pStyle w:val="ListParagraph"/>
        <w:numPr>
          <w:ilvl w:val="0"/>
          <w:numId w:val="21"/>
        </w:numPr>
        <w:spacing w:after="200"/>
        <w:ind w:left="144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rPr>
        <w:t>The observation layers provide users a way to record “casual” observation of springs and wetlands by a variety of observers</w:t>
      </w:r>
      <w:r w:rsidR="00CC6BBB" w:rsidRPr="00EF26B6">
        <w:rPr>
          <w:rStyle w:val="Strong"/>
          <w:rFonts w:asciiTheme="minorHAnsi" w:hAnsiTheme="minorHAnsi" w:cstheme="minorHAnsi"/>
          <w:b w:val="0"/>
          <w:sz w:val="22"/>
          <w:szCs w:val="22"/>
        </w:rPr>
        <w:t xml:space="preserve"> as described above</w:t>
      </w:r>
      <w:r w:rsidRPr="00EF26B6">
        <w:rPr>
          <w:rStyle w:val="Strong"/>
          <w:rFonts w:asciiTheme="minorHAnsi" w:hAnsiTheme="minorHAnsi" w:cstheme="minorHAnsi"/>
          <w:b w:val="0"/>
          <w:sz w:val="22"/>
          <w:szCs w:val="22"/>
        </w:rPr>
        <w:t xml:space="preserve">.  </w:t>
      </w:r>
      <w:r w:rsidR="0067649F" w:rsidRPr="00EF26B6">
        <w:rPr>
          <w:rStyle w:val="Strong"/>
          <w:rFonts w:asciiTheme="minorHAnsi" w:hAnsiTheme="minorHAnsi" w:cstheme="minorHAnsi"/>
          <w:b w:val="0"/>
          <w:sz w:val="22"/>
          <w:szCs w:val="22"/>
        </w:rPr>
        <w:t>Information on sites may be entered into the GDE database once verified by a data steward.</w:t>
      </w:r>
      <w:r w:rsidR="00CC6BBB" w:rsidRPr="00EF26B6">
        <w:rPr>
          <w:rStyle w:val="Strong"/>
          <w:rFonts w:asciiTheme="minorHAnsi" w:hAnsiTheme="minorHAnsi" w:cstheme="minorHAnsi"/>
          <w:b w:val="0"/>
          <w:sz w:val="22"/>
          <w:szCs w:val="22"/>
        </w:rPr>
        <w:t xml:space="preserve">  The observation </w:t>
      </w:r>
      <w:proofErr w:type="gramStart"/>
      <w:r w:rsidR="00CC6BBB" w:rsidRPr="00EF26B6">
        <w:rPr>
          <w:rStyle w:val="Strong"/>
          <w:rFonts w:asciiTheme="minorHAnsi" w:hAnsiTheme="minorHAnsi" w:cstheme="minorHAnsi"/>
          <w:b w:val="0"/>
          <w:sz w:val="22"/>
          <w:szCs w:val="22"/>
        </w:rPr>
        <w:t>layers</w:t>
      </w:r>
      <w:r w:rsidR="00CC4318" w:rsidRPr="00EF26B6">
        <w:rPr>
          <w:rStyle w:val="Strong"/>
          <w:rFonts w:asciiTheme="minorHAnsi" w:hAnsiTheme="minorHAnsi" w:cstheme="minorHAnsi"/>
          <w:b w:val="0"/>
          <w:sz w:val="22"/>
          <w:szCs w:val="22"/>
        </w:rPr>
        <w:t xml:space="preserve"> </w:t>
      </w:r>
      <w:r w:rsidR="00CC6BBB" w:rsidRPr="00EF26B6">
        <w:rPr>
          <w:rStyle w:val="Strong"/>
          <w:rFonts w:asciiTheme="minorHAnsi" w:hAnsiTheme="minorHAnsi" w:cstheme="minorHAnsi"/>
          <w:b w:val="0"/>
          <w:sz w:val="22"/>
          <w:szCs w:val="22"/>
        </w:rPr>
        <w:t>provide</w:t>
      </w:r>
      <w:r w:rsidR="00CC4318" w:rsidRPr="00EF26B6">
        <w:rPr>
          <w:rStyle w:val="Strong"/>
          <w:rFonts w:asciiTheme="minorHAnsi" w:hAnsiTheme="minorHAnsi" w:cstheme="minorHAnsi"/>
          <w:b w:val="0"/>
          <w:sz w:val="22"/>
          <w:szCs w:val="22"/>
        </w:rPr>
        <w:t>s</w:t>
      </w:r>
      <w:proofErr w:type="gramEnd"/>
      <w:r w:rsidR="00CC6BBB" w:rsidRPr="00EF26B6">
        <w:rPr>
          <w:rStyle w:val="Strong"/>
          <w:rFonts w:asciiTheme="minorHAnsi" w:hAnsiTheme="minorHAnsi" w:cstheme="minorHAnsi"/>
          <w:b w:val="0"/>
          <w:sz w:val="22"/>
          <w:szCs w:val="22"/>
        </w:rPr>
        <w:t xml:space="preserve"> a set of candidate sites and features that can be selected for GDE field review based on a sampling design.</w:t>
      </w:r>
    </w:p>
    <w:p w14:paraId="3BAF7D8F" w14:textId="32C28DAE" w:rsidR="0076624E" w:rsidRPr="00EF26B6" w:rsidRDefault="0076624E" w:rsidP="0067649F">
      <w:pPr>
        <w:pStyle w:val="ListParagraph"/>
        <w:numPr>
          <w:ilvl w:val="0"/>
          <w:numId w:val="21"/>
        </w:numPr>
        <w:spacing w:after="200"/>
        <w:ind w:left="144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rPr>
        <w:t>If a decision is made to conduct more detailed inventories of these sites using the GDE Field Guide methods, the results of the Level I and II inventories would be recorded in the GDE Database and the associated GDE GIS layers.</w:t>
      </w:r>
      <w:r w:rsidR="00CC6BBB" w:rsidRPr="00EF26B6">
        <w:rPr>
          <w:rStyle w:val="Strong"/>
          <w:rFonts w:asciiTheme="minorHAnsi" w:hAnsiTheme="minorHAnsi" w:cstheme="minorHAnsi"/>
          <w:b w:val="0"/>
          <w:sz w:val="22"/>
          <w:szCs w:val="22"/>
        </w:rPr>
        <w:t xml:space="preserve">  </w:t>
      </w:r>
    </w:p>
    <w:p w14:paraId="0A567B3D" w14:textId="2D253F18" w:rsidR="00CC6BBB" w:rsidRPr="00EF26B6" w:rsidRDefault="00CC6BBB" w:rsidP="0067649F">
      <w:pPr>
        <w:pStyle w:val="ListParagraph"/>
        <w:numPr>
          <w:ilvl w:val="0"/>
          <w:numId w:val="21"/>
        </w:numPr>
        <w:spacing w:after="200"/>
        <w:ind w:left="144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rPr>
        <w:t>GDE field inventories might be conducted directly, bypassing the observation step.  It would be at the unit’s discretion whether to replicate that data to the observation layer.</w:t>
      </w:r>
    </w:p>
    <w:p w14:paraId="5F7AB7D3" w14:textId="234A9B7F" w:rsidR="00E66ED5" w:rsidRPr="00EF26B6" w:rsidRDefault="00E66ED5" w:rsidP="0067649F">
      <w:pPr>
        <w:spacing w:after="200"/>
        <w:ind w:left="72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u w:val="single"/>
        </w:rPr>
        <w:t>Hydrogeologic Units Layers</w:t>
      </w:r>
      <w:r w:rsidR="00876198" w:rsidRPr="00EF26B6">
        <w:rPr>
          <w:rStyle w:val="Strong"/>
          <w:rFonts w:asciiTheme="minorHAnsi" w:hAnsiTheme="minorHAnsi" w:cstheme="minorHAnsi"/>
          <w:b w:val="0"/>
          <w:sz w:val="22"/>
          <w:szCs w:val="22"/>
        </w:rPr>
        <w:t xml:space="preserve"> </w:t>
      </w:r>
      <w:r w:rsidR="0067649F" w:rsidRPr="00EF26B6">
        <w:rPr>
          <w:rStyle w:val="Strong"/>
          <w:rFonts w:asciiTheme="minorHAnsi" w:hAnsiTheme="minorHAnsi" w:cstheme="minorHAnsi"/>
          <w:b w:val="0"/>
          <w:sz w:val="22"/>
          <w:szCs w:val="22"/>
        </w:rPr>
        <w:t xml:space="preserve">(1 layer) </w:t>
      </w:r>
      <w:r w:rsidR="00876198" w:rsidRPr="00EF26B6">
        <w:rPr>
          <w:rStyle w:val="Strong"/>
          <w:rFonts w:asciiTheme="minorHAnsi" w:hAnsiTheme="minorHAnsi" w:cstheme="minorHAnsi"/>
          <w:b w:val="0"/>
          <w:sz w:val="22"/>
          <w:szCs w:val="22"/>
        </w:rPr>
        <w:t xml:space="preserve">– This layer results from the </w:t>
      </w:r>
      <w:r w:rsidRPr="00EF26B6">
        <w:rPr>
          <w:rStyle w:val="Strong"/>
          <w:rFonts w:asciiTheme="minorHAnsi" w:hAnsiTheme="minorHAnsi" w:cstheme="minorHAnsi"/>
          <w:b w:val="0"/>
          <w:sz w:val="22"/>
          <w:szCs w:val="22"/>
        </w:rPr>
        <w:t>reclassification of geologic units</w:t>
      </w:r>
      <w:r w:rsidR="00CC6BBB" w:rsidRPr="00EF26B6">
        <w:rPr>
          <w:rStyle w:val="Strong"/>
          <w:rFonts w:asciiTheme="minorHAnsi" w:hAnsiTheme="minorHAnsi" w:cstheme="minorHAnsi"/>
          <w:b w:val="0"/>
          <w:sz w:val="22"/>
          <w:szCs w:val="22"/>
        </w:rPr>
        <w:t xml:space="preserve"> to</w:t>
      </w:r>
      <w:r w:rsidRPr="00EF26B6">
        <w:rPr>
          <w:rStyle w:val="Strong"/>
          <w:rFonts w:asciiTheme="minorHAnsi" w:hAnsiTheme="minorHAnsi" w:cstheme="minorHAnsi"/>
          <w:b w:val="0"/>
          <w:sz w:val="22"/>
          <w:szCs w:val="22"/>
        </w:rPr>
        <w:t xml:space="preserve"> </w:t>
      </w:r>
      <w:r w:rsidR="00876198" w:rsidRPr="00EF26B6">
        <w:rPr>
          <w:rStyle w:val="Strong"/>
          <w:rFonts w:asciiTheme="minorHAnsi" w:hAnsiTheme="minorHAnsi" w:cstheme="minorHAnsi"/>
          <w:b w:val="0"/>
          <w:sz w:val="22"/>
          <w:szCs w:val="22"/>
        </w:rPr>
        <w:t>represent their</w:t>
      </w:r>
      <w:r w:rsidRPr="00EF26B6">
        <w:rPr>
          <w:rStyle w:val="Strong"/>
          <w:rFonts w:asciiTheme="minorHAnsi" w:hAnsiTheme="minorHAnsi" w:cstheme="minorHAnsi"/>
          <w:b w:val="0"/>
          <w:sz w:val="22"/>
          <w:szCs w:val="22"/>
        </w:rPr>
        <w:t xml:space="preserve"> groundwater characteristics. See the Groundwater IM&amp;A Technical Guide for </w:t>
      </w:r>
      <w:r w:rsidR="00876198" w:rsidRPr="00EF26B6">
        <w:rPr>
          <w:rStyle w:val="Strong"/>
          <w:rFonts w:asciiTheme="minorHAnsi" w:hAnsiTheme="minorHAnsi" w:cstheme="minorHAnsi"/>
          <w:b w:val="0"/>
          <w:sz w:val="22"/>
          <w:szCs w:val="22"/>
        </w:rPr>
        <w:t>Figure 2-1 for an example</w:t>
      </w:r>
      <w:r w:rsidRPr="00EF26B6">
        <w:rPr>
          <w:rStyle w:val="Strong"/>
          <w:rFonts w:asciiTheme="minorHAnsi" w:hAnsiTheme="minorHAnsi" w:cstheme="minorHAnsi"/>
          <w:b w:val="0"/>
          <w:sz w:val="22"/>
          <w:szCs w:val="22"/>
        </w:rPr>
        <w:t xml:space="preserve"> of the Hydrogeologic Units on </w:t>
      </w:r>
      <w:proofErr w:type="spellStart"/>
      <w:r w:rsidRPr="00EF26B6">
        <w:rPr>
          <w:rStyle w:val="Strong"/>
          <w:rFonts w:asciiTheme="minorHAnsi" w:hAnsiTheme="minorHAnsi" w:cstheme="minorHAnsi"/>
          <w:b w:val="0"/>
          <w:sz w:val="22"/>
          <w:szCs w:val="22"/>
        </w:rPr>
        <w:t>Fishlake</w:t>
      </w:r>
      <w:proofErr w:type="spellEnd"/>
      <w:r w:rsidRPr="00EF26B6">
        <w:rPr>
          <w:rStyle w:val="Strong"/>
          <w:rFonts w:asciiTheme="minorHAnsi" w:hAnsiTheme="minorHAnsi" w:cstheme="minorHAnsi"/>
          <w:b w:val="0"/>
          <w:sz w:val="22"/>
          <w:szCs w:val="22"/>
        </w:rPr>
        <w:t xml:space="preserve"> NF. </w:t>
      </w:r>
    </w:p>
    <w:p w14:paraId="542E1587" w14:textId="7A1586B2" w:rsidR="00E66ED5" w:rsidRPr="00EF26B6" w:rsidRDefault="00E66ED5" w:rsidP="0067649F">
      <w:pPr>
        <w:spacing w:after="200"/>
        <w:ind w:left="72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u w:val="single"/>
        </w:rPr>
        <w:t>Aquifer vulnerability Layer</w:t>
      </w:r>
      <w:r w:rsidR="00876198" w:rsidRPr="00EF26B6">
        <w:rPr>
          <w:rStyle w:val="Strong"/>
          <w:rFonts w:asciiTheme="minorHAnsi" w:hAnsiTheme="minorHAnsi" w:cstheme="minorHAnsi"/>
          <w:b w:val="0"/>
          <w:sz w:val="22"/>
          <w:szCs w:val="22"/>
        </w:rPr>
        <w:t xml:space="preserve"> </w:t>
      </w:r>
      <w:r w:rsidR="0067649F" w:rsidRPr="00EF26B6">
        <w:rPr>
          <w:rStyle w:val="Strong"/>
          <w:rFonts w:asciiTheme="minorHAnsi" w:hAnsiTheme="minorHAnsi" w:cstheme="minorHAnsi"/>
          <w:b w:val="0"/>
          <w:sz w:val="22"/>
          <w:szCs w:val="22"/>
        </w:rPr>
        <w:t xml:space="preserve">(1 layer) </w:t>
      </w:r>
      <w:r w:rsidR="00876198" w:rsidRPr="00EF26B6">
        <w:rPr>
          <w:rStyle w:val="Strong"/>
          <w:rFonts w:asciiTheme="minorHAnsi" w:hAnsiTheme="minorHAnsi" w:cstheme="minorHAnsi"/>
          <w:b w:val="0"/>
          <w:sz w:val="22"/>
          <w:szCs w:val="22"/>
        </w:rPr>
        <w:t xml:space="preserve">– This layer is typically produced using the DRASTIC model as described in Section 6 of the IM&amp;A Technical Guide, figures 6-1 and 6-2. </w:t>
      </w:r>
      <w:r w:rsidRPr="00EF26B6">
        <w:rPr>
          <w:rStyle w:val="Strong"/>
          <w:rFonts w:asciiTheme="minorHAnsi" w:hAnsiTheme="minorHAnsi" w:cstheme="minorHAnsi"/>
          <w:b w:val="0"/>
          <w:sz w:val="22"/>
          <w:szCs w:val="22"/>
        </w:rPr>
        <w:t>This layer identifies specific aquifers</w:t>
      </w:r>
      <w:r w:rsidR="0067649F" w:rsidRPr="00EF26B6">
        <w:rPr>
          <w:rStyle w:val="Strong"/>
          <w:rFonts w:asciiTheme="minorHAnsi" w:hAnsiTheme="minorHAnsi" w:cstheme="minorHAnsi"/>
          <w:b w:val="0"/>
          <w:sz w:val="22"/>
          <w:szCs w:val="22"/>
        </w:rPr>
        <w:t xml:space="preserve"> that are potentially at risk.</w:t>
      </w:r>
    </w:p>
    <w:p w14:paraId="4FB8147E" w14:textId="5DB3EEB3" w:rsidR="00D73D31" w:rsidRPr="00EF26B6" w:rsidRDefault="00D73D31" w:rsidP="00D73D31">
      <w:pPr>
        <w:spacing w:after="20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rPr>
        <w:t>Pete K. has been working with Utah Geological Survey to get their technical expertise on and discuss the practicality of some of these approaches and layers. The Survey has direct experience working with the GDE</w:t>
      </w:r>
      <w:r w:rsidR="0067649F" w:rsidRPr="00EF26B6">
        <w:rPr>
          <w:rStyle w:val="Strong"/>
          <w:rFonts w:asciiTheme="minorHAnsi" w:hAnsiTheme="minorHAnsi" w:cstheme="minorHAnsi"/>
          <w:b w:val="0"/>
          <w:sz w:val="22"/>
          <w:szCs w:val="22"/>
        </w:rPr>
        <w:t xml:space="preserve"> inventories and GIS layers</w:t>
      </w:r>
      <w:r w:rsidRPr="00EF26B6">
        <w:rPr>
          <w:rStyle w:val="Strong"/>
          <w:rFonts w:asciiTheme="minorHAnsi" w:hAnsiTheme="minorHAnsi" w:cstheme="minorHAnsi"/>
          <w:b w:val="0"/>
          <w:sz w:val="22"/>
          <w:szCs w:val="22"/>
        </w:rPr>
        <w:t xml:space="preserve"> </w:t>
      </w:r>
      <w:r w:rsidR="003021B1" w:rsidRPr="00EF26B6">
        <w:rPr>
          <w:rStyle w:val="Strong"/>
          <w:rFonts w:asciiTheme="minorHAnsi" w:hAnsiTheme="minorHAnsi" w:cstheme="minorHAnsi"/>
          <w:b w:val="0"/>
          <w:sz w:val="22"/>
          <w:szCs w:val="22"/>
        </w:rPr>
        <w:t xml:space="preserve">under a cost share agreement with the Manti-La Sal National Forest </w:t>
      </w:r>
      <w:r w:rsidRPr="00EF26B6">
        <w:rPr>
          <w:rStyle w:val="Strong"/>
          <w:rFonts w:asciiTheme="minorHAnsi" w:hAnsiTheme="minorHAnsi" w:cstheme="minorHAnsi"/>
          <w:b w:val="0"/>
          <w:sz w:val="22"/>
          <w:szCs w:val="22"/>
        </w:rPr>
        <w:t>and can share their perspective</w:t>
      </w:r>
      <w:r w:rsidR="0067649F" w:rsidRPr="00EF26B6">
        <w:rPr>
          <w:rStyle w:val="Strong"/>
          <w:rFonts w:asciiTheme="minorHAnsi" w:hAnsiTheme="minorHAnsi" w:cstheme="minorHAnsi"/>
          <w:b w:val="0"/>
          <w:sz w:val="22"/>
          <w:szCs w:val="22"/>
        </w:rPr>
        <w:t>s</w:t>
      </w:r>
      <w:r w:rsidRPr="00EF26B6">
        <w:rPr>
          <w:rStyle w:val="Strong"/>
          <w:rFonts w:asciiTheme="minorHAnsi" w:hAnsiTheme="minorHAnsi" w:cstheme="minorHAnsi"/>
          <w:b w:val="0"/>
          <w:sz w:val="22"/>
          <w:szCs w:val="22"/>
        </w:rPr>
        <w:t xml:space="preserve"> on how to</w:t>
      </w:r>
      <w:r w:rsidR="0067649F" w:rsidRPr="00EF26B6">
        <w:rPr>
          <w:rStyle w:val="Strong"/>
          <w:rFonts w:asciiTheme="minorHAnsi" w:hAnsiTheme="minorHAnsi" w:cstheme="minorHAnsi"/>
          <w:b w:val="0"/>
          <w:sz w:val="22"/>
          <w:szCs w:val="22"/>
        </w:rPr>
        <w:t xml:space="preserve"> develop and</w:t>
      </w:r>
      <w:r w:rsidRPr="00EF26B6">
        <w:rPr>
          <w:rStyle w:val="Strong"/>
          <w:rFonts w:asciiTheme="minorHAnsi" w:hAnsiTheme="minorHAnsi" w:cstheme="minorHAnsi"/>
          <w:b w:val="0"/>
          <w:sz w:val="22"/>
          <w:szCs w:val="22"/>
        </w:rPr>
        <w:t xml:space="preserve"> use the</w:t>
      </w:r>
      <w:r w:rsidR="0067649F" w:rsidRPr="00EF26B6">
        <w:rPr>
          <w:rStyle w:val="Strong"/>
          <w:rFonts w:asciiTheme="minorHAnsi" w:hAnsiTheme="minorHAnsi" w:cstheme="minorHAnsi"/>
          <w:b w:val="0"/>
          <w:sz w:val="22"/>
          <w:szCs w:val="22"/>
        </w:rPr>
        <w:t>se</w:t>
      </w:r>
      <w:r w:rsidRPr="00EF26B6">
        <w:rPr>
          <w:rStyle w:val="Strong"/>
          <w:rFonts w:asciiTheme="minorHAnsi" w:hAnsiTheme="minorHAnsi" w:cstheme="minorHAnsi"/>
          <w:b w:val="0"/>
          <w:sz w:val="22"/>
          <w:szCs w:val="22"/>
        </w:rPr>
        <w:t xml:space="preserve"> data outside the </w:t>
      </w:r>
      <w:r w:rsidR="0067649F" w:rsidRPr="00EF26B6">
        <w:rPr>
          <w:rStyle w:val="Strong"/>
          <w:rFonts w:asciiTheme="minorHAnsi" w:hAnsiTheme="minorHAnsi" w:cstheme="minorHAnsi"/>
          <w:b w:val="0"/>
          <w:sz w:val="22"/>
          <w:szCs w:val="22"/>
        </w:rPr>
        <w:t xml:space="preserve">FS </w:t>
      </w:r>
      <w:r w:rsidRPr="00EF26B6">
        <w:rPr>
          <w:rStyle w:val="Strong"/>
          <w:rFonts w:asciiTheme="minorHAnsi" w:hAnsiTheme="minorHAnsi" w:cstheme="minorHAnsi"/>
          <w:b w:val="0"/>
          <w:sz w:val="22"/>
          <w:szCs w:val="22"/>
        </w:rPr>
        <w:t xml:space="preserve">firewall. </w:t>
      </w:r>
    </w:p>
    <w:p w14:paraId="39136FA1" w14:textId="17E691E6" w:rsidR="00D73D31" w:rsidRPr="00EF26B6" w:rsidRDefault="00D73D31" w:rsidP="00D73D31">
      <w:pPr>
        <w:spacing w:after="20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rPr>
        <w:t xml:space="preserve">Steve Solem mentioned that this work might also benefit from a discussion </w:t>
      </w:r>
      <w:r w:rsidR="006859F1" w:rsidRPr="00EF26B6">
        <w:rPr>
          <w:rStyle w:val="Strong"/>
          <w:rFonts w:asciiTheme="minorHAnsi" w:hAnsiTheme="minorHAnsi" w:cstheme="minorHAnsi"/>
          <w:b w:val="0"/>
          <w:sz w:val="22"/>
          <w:szCs w:val="22"/>
        </w:rPr>
        <w:t>with TNC to find out what data dictionary/Geodatabase Design</w:t>
      </w:r>
      <w:r w:rsidRPr="00EF26B6">
        <w:rPr>
          <w:rStyle w:val="Strong"/>
          <w:rFonts w:asciiTheme="minorHAnsi" w:hAnsiTheme="minorHAnsi" w:cstheme="minorHAnsi"/>
          <w:b w:val="0"/>
          <w:sz w:val="22"/>
          <w:szCs w:val="22"/>
        </w:rPr>
        <w:t xml:space="preserve"> will be useful</w:t>
      </w:r>
      <w:r w:rsidR="006859F1" w:rsidRPr="00EF26B6">
        <w:rPr>
          <w:rStyle w:val="Strong"/>
          <w:rFonts w:asciiTheme="minorHAnsi" w:hAnsiTheme="minorHAnsi" w:cstheme="minorHAnsi"/>
          <w:b w:val="0"/>
          <w:sz w:val="22"/>
          <w:szCs w:val="22"/>
        </w:rPr>
        <w:t xml:space="preserve"> to them</w:t>
      </w:r>
      <w:r w:rsidRPr="00EF26B6">
        <w:rPr>
          <w:rStyle w:val="Strong"/>
          <w:rFonts w:asciiTheme="minorHAnsi" w:hAnsiTheme="minorHAnsi" w:cstheme="minorHAnsi"/>
          <w:b w:val="0"/>
          <w:sz w:val="22"/>
          <w:szCs w:val="22"/>
        </w:rPr>
        <w:t>.</w:t>
      </w:r>
      <w:r w:rsidR="006859F1" w:rsidRPr="00EF26B6">
        <w:rPr>
          <w:rStyle w:val="Strong"/>
          <w:rFonts w:asciiTheme="minorHAnsi" w:hAnsiTheme="minorHAnsi" w:cstheme="minorHAnsi"/>
          <w:b w:val="0"/>
          <w:sz w:val="22"/>
          <w:szCs w:val="22"/>
        </w:rPr>
        <w:t xml:space="preserve"> </w:t>
      </w:r>
      <w:r w:rsidRPr="00EF26B6">
        <w:rPr>
          <w:rStyle w:val="Strong"/>
          <w:rFonts w:asciiTheme="minorHAnsi" w:hAnsiTheme="minorHAnsi" w:cstheme="minorHAnsi"/>
          <w:b w:val="0"/>
          <w:sz w:val="22"/>
          <w:szCs w:val="22"/>
        </w:rPr>
        <w:t xml:space="preserve"> Allison Aldous said there </w:t>
      </w:r>
      <w:r w:rsidR="006859F1" w:rsidRPr="00EF26B6">
        <w:rPr>
          <w:rStyle w:val="Strong"/>
          <w:rFonts w:asciiTheme="minorHAnsi" w:hAnsiTheme="minorHAnsi" w:cstheme="minorHAnsi"/>
          <w:b w:val="0"/>
          <w:sz w:val="22"/>
          <w:szCs w:val="22"/>
        </w:rPr>
        <w:t>might</w:t>
      </w:r>
      <w:r w:rsidRPr="00EF26B6">
        <w:rPr>
          <w:rStyle w:val="Strong"/>
          <w:rFonts w:asciiTheme="minorHAnsi" w:hAnsiTheme="minorHAnsi" w:cstheme="minorHAnsi"/>
          <w:b w:val="0"/>
          <w:sz w:val="22"/>
          <w:szCs w:val="22"/>
        </w:rPr>
        <w:t xml:space="preserve"> be a GIS analyst in her office </w:t>
      </w:r>
      <w:r w:rsidR="006859F1" w:rsidRPr="00EF26B6">
        <w:rPr>
          <w:rStyle w:val="Strong"/>
          <w:rFonts w:asciiTheme="minorHAnsi" w:hAnsiTheme="minorHAnsi" w:cstheme="minorHAnsi"/>
          <w:b w:val="0"/>
          <w:sz w:val="22"/>
          <w:szCs w:val="22"/>
        </w:rPr>
        <w:t>that could</w:t>
      </w:r>
      <w:r w:rsidRPr="00EF26B6">
        <w:rPr>
          <w:rStyle w:val="Strong"/>
          <w:rFonts w:asciiTheme="minorHAnsi" w:hAnsiTheme="minorHAnsi" w:cstheme="minorHAnsi"/>
          <w:b w:val="0"/>
          <w:sz w:val="22"/>
          <w:szCs w:val="22"/>
        </w:rPr>
        <w:t xml:space="preserve"> provide technical feedback on the </w:t>
      </w:r>
      <w:r w:rsidR="006859F1" w:rsidRPr="00EF26B6">
        <w:rPr>
          <w:rStyle w:val="Strong"/>
          <w:rFonts w:asciiTheme="minorHAnsi" w:hAnsiTheme="minorHAnsi" w:cstheme="minorHAnsi"/>
          <w:b w:val="0"/>
          <w:sz w:val="22"/>
          <w:szCs w:val="22"/>
        </w:rPr>
        <w:t>data dictionary and Geodatabase Design.   Steve suggested January-</w:t>
      </w:r>
      <w:r w:rsidRPr="00EF26B6">
        <w:rPr>
          <w:rStyle w:val="Strong"/>
          <w:rFonts w:asciiTheme="minorHAnsi" w:hAnsiTheme="minorHAnsi" w:cstheme="minorHAnsi"/>
          <w:b w:val="0"/>
          <w:sz w:val="22"/>
          <w:szCs w:val="22"/>
        </w:rPr>
        <w:t xml:space="preserve">February 2014 would be a good time to get feedback from </w:t>
      </w:r>
      <w:r w:rsidR="0067649F" w:rsidRPr="00EF26B6">
        <w:rPr>
          <w:rStyle w:val="Strong"/>
          <w:rFonts w:asciiTheme="minorHAnsi" w:hAnsiTheme="minorHAnsi" w:cstheme="minorHAnsi"/>
          <w:b w:val="0"/>
          <w:sz w:val="22"/>
          <w:szCs w:val="22"/>
        </w:rPr>
        <w:t>TNC.</w:t>
      </w:r>
      <w:r w:rsidRPr="00EF26B6">
        <w:rPr>
          <w:rStyle w:val="Strong"/>
          <w:rFonts w:asciiTheme="minorHAnsi" w:hAnsiTheme="minorHAnsi" w:cstheme="minorHAnsi"/>
          <w:b w:val="0"/>
          <w:sz w:val="22"/>
          <w:szCs w:val="22"/>
        </w:rPr>
        <w:t xml:space="preserve"> </w:t>
      </w:r>
    </w:p>
    <w:p w14:paraId="20C32257" w14:textId="77777777" w:rsidR="00B319BA" w:rsidRPr="00EF26B6" w:rsidRDefault="00B319BA" w:rsidP="00D453E9">
      <w:pPr>
        <w:spacing w:after="200"/>
        <w:rPr>
          <w:rStyle w:val="Strong"/>
          <w:rFonts w:asciiTheme="minorHAnsi" w:hAnsiTheme="minorHAnsi" w:cstheme="minorHAnsi"/>
          <w:b w:val="0"/>
          <w:sz w:val="22"/>
          <w:szCs w:val="22"/>
          <w:u w:val="single"/>
        </w:rPr>
      </w:pPr>
      <w:r w:rsidRPr="00EF26B6">
        <w:rPr>
          <w:rStyle w:val="Strong"/>
          <w:rFonts w:asciiTheme="minorHAnsi" w:hAnsiTheme="minorHAnsi" w:cstheme="minorHAnsi"/>
          <w:b w:val="0"/>
          <w:sz w:val="22"/>
          <w:szCs w:val="22"/>
          <w:u w:val="single"/>
        </w:rPr>
        <w:t xml:space="preserve">Core Team Comments </w:t>
      </w:r>
    </w:p>
    <w:p w14:paraId="56EA762F" w14:textId="77777777" w:rsidR="006859F1" w:rsidRPr="00EF26B6" w:rsidRDefault="006859F1" w:rsidP="006859F1">
      <w:pPr>
        <w:spacing w:after="20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rPr>
        <w:lastRenderedPageBreak/>
        <w:t>There was considerable discussion and confusion over how these layers related to entries in the GDE database, the Enterprise Data Warehouse, and NRM.  In summary, the key point from this discussion is that data from these observations will not be entered into the GDE database or NRM unless verified by a data steward with access to these systems.</w:t>
      </w:r>
    </w:p>
    <w:p w14:paraId="1B2078E6" w14:textId="77777777" w:rsidR="0067649F" w:rsidRPr="00EF26B6" w:rsidRDefault="0067649F" w:rsidP="0067649F">
      <w:pPr>
        <w:spacing w:after="20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rPr>
        <w:t>There was concern about the use of an “index card” for recording observations by different staff on Ranger Districts and the potential for loosing this information or not recording the information in the GIS Observation Layer or GDE database.</w:t>
      </w:r>
    </w:p>
    <w:p w14:paraId="20B1D1DA" w14:textId="47CABD56" w:rsidR="0067649F" w:rsidRPr="00EF26B6" w:rsidRDefault="0067649F" w:rsidP="0067649F">
      <w:pPr>
        <w:spacing w:after="20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rPr>
        <w:t xml:space="preserve">Andy </w:t>
      </w:r>
      <w:proofErr w:type="spellStart"/>
      <w:r w:rsidRPr="00EF26B6">
        <w:rPr>
          <w:rStyle w:val="Strong"/>
          <w:rFonts w:asciiTheme="minorHAnsi" w:hAnsiTheme="minorHAnsi" w:cstheme="minorHAnsi"/>
          <w:b w:val="0"/>
          <w:sz w:val="22"/>
          <w:szCs w:val="22"/>
        </w:rPr>
        <w:t>Rorick</w:t>
      </w:r>
      <w:proofErr w:type="spellEnd"/>
      <w:r w:rsidRPr="00EF26B6">
        <w:rPr>
          <w:rStyle w:val="Strong"/>
          <w:rFonts w:asciiTheme="minorHAnsi" w:hAnsiTheme="minorHAnsi" w:cstheme="minorHAnsi"/>
          <w:b w:val="0"/>
          <w:sz w:val="22"/>
          <w:szCs w:val="22"/>
        </w:rPr>
        <w:t xml:space="preserve"> commented that he is concerned about the process (i.e., where will the data be stored until entered) someone has to follow before data will be entered into the Observation Layer, GDE Layer, and GIS Data Dictionary. </w:t>
      </w:r>
    </w:p>
    <w:p w14:paraId="4B38814D" w14:textId="0328FC2C" w:rsidR="0067649F" w:rsidRPr="00EF26B6" w:rsidRDefault="0067649F" w:rsidP="0067649F">
      <w:pPr>
        <w:spacing w:after="20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rPr>
        <w:t>Chris Carlson commented that the responsibility falls to the data steward to enter the information collected during a site visit into the database. The data steward needs to keep ownership of data, including the index cards, until it is entered into the system.</w:t>
      </w:r>
    </w:p>
    <w:p w14:paraId="7BC4BEF0" w14:textId="77777777" w:rsidR="006859F1" w:rsidRPr="00EF26B6" w:rsidRDefault="006859F1" w:rsidP="006859F1">
      <w:pPr>
        <w:spacing w:after="20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rPr>
        <w:t>Members of the Core Team also inquired about the relationship between the observation layers and entries into the GDE database (e.g., the “0.5 inventory).  Steve Solem explained that the GDE database allows users to enter a minimal amount of information for each site visit.  The GDE database does not require the full set of GDE Level I or II data to be entered.  Information from each site visit (including Level I or II inventories) can be entered into the database.  This capability provides for the capture of information on site conditions, etc. without the need for a “0.5 Inventory” or minimum data set.  To enter this information in the GDE database, users with access permissions only need to note the date of the observation and enter the appropriate data (e.g. a photograph or note about disturbance).  As a result, there is no need for a separate “0.5 GDE Inventory”.</w:t>
      </w:r>
    </w:p>
    <w:p w14:paraId="71EE2F7F" w14:textId="1FFDFFA0" w:rsidR="00E31F81" w:rsidRPr="00EF26B6" w:rsidRDefault="00E31F81" w:rsidP="00D453E9">
      <w:pPr>
        <w:spacing w:after="20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rPr>
        <w:t xml:space="preserve">Pete </w:t>
      </w:r>
      <w:r w:rsidR="00B319BA" w:rsidRPr="00EF26B6">
        <w:rPr>
          <w:rStyle w:val="Strong"/>
          <w:rFonts w:asciiTheme="minorHAnsi" w:hAnsiTheme="minorHAnsi" w:cstheme="minorHAnsi"/>
          <w:b w:val="0"/>
          <w:sz w:val="22"/>
          <w:szCs w:val="22"/>
        </w:rPr>
        <w:t xml:space="preserve">Kilbourne </w:t>
      </w:r>
      <w:r w:rsidR="0067649F" w:rsidRPr="00EF26B6">
        <w:rPr>
          <w:rStyle w:val="Strong"/>
          <w:rFonts w:asciiTheme="minorHAnsi" w:hAnsiTheme="minorHAnsi" w:cstheme="minorHAnsi"/>
          <w:b w:val="0"/>
          <w:sz w:val="22"/>
          <w:szCs w:val="22"/>
        </w:rPr>
        <w:t xml:space="preserve">also </w:t>
      </w:r>
      <w:r w:rsidR="00B319BA" w:rsidRPr="00EF26B6">
        <w:rPr>
          <w:rStyle w:val="Strong"/>
          <w:rFonts w:asciiTheme="minorHAnsi" w:hAnsiTheme="minorHAnsi" w:cstheme="minorHAnsi"/>
          <w:b w:val="0"/>
          <w:sz w:val="22"/>
          <w:szCs w:val="22"/>
        </w:rPr>
        <w:t xml:space="preserve">explained that he </w:t>
      </w:r>
      <w:r w:rsidRPr="00EF26B6">
        <w:rPr>
          <w:rStyle w:val="Strong"/>
          <w:rFonts w:asciiTheme="minorHAnsi" w:hAnsiTheme="minorHAnsi" w:cstheme="minorHAnsi"/>
          <w:b w:val="0"/>
          <w:sz w:val="22"/>
          <w:szCs w:val="22"/>
        </w:rPr>
        <w:t xml:space="preserve">and Linda Spencer </w:t>
      </w:r>
      <w:r w:rsidR="00284B10" w:rsidRPr="00EF26B6">
        <w:rPr>
          <w:rStyle w:val="Strong"/>
          <w:rFonts w:asciiTheme="minorHAnsi" w:hAnsiTheme="minorHAnsi" w:cstheme="minorHAnsi"/>
          <w:b w:val="0"/>
          <w:sz w:val="22"/>
          <w:szCs w:val="22"/>
        </w:rPr>
        <w:t xml:space="preserve">(NRM) </w:t>
      </w:r>
      <w:r w:rsidR="00B319BA" w:rsidRPr="00EF26B6">
        <w:rPr>
          <w:rStyle w:val="Strong"/>
          <w:rFonts w:asciiTheme="minorHAnsi" w:hAnsiTheme="minorHAnsi" w:cstheme="minorHAnsi"/>
          <w:b w:val="0"/>
          <w:sz w:val="22"/>
          <w:szCs w:val="22"/>
        </w:rPr>
        <w:t xml:space="preserve">have </w:t>
      </w:r>
      <w:r w:rsidRPr="00EF26B6">
        <w:rPr>
          <w:rStyle w:val="Strong"/>
          <w:rFonts w:asciiTheme="minorHAnsi" w:hAnsiTheme="minorHAnsi" w:cstheme="minorHAnsi"/>
          <w:b w:val="0"/>
          <w:sz w:val="22"/>
          <w:szCs w:val="22"/>
        </w:rPr>
        <w:t xml:space="preserve">discussed </w:t>
      </w:r>
      <w:r w:rsidR="0067649F" w:rsidRPr="00EF26B6">
        <w:rPr>
          <w:rStyle w:val="Strong"/>
          <w:rFonts w:asciiTheme="minorHAnsi" w:hAnsiTheme="minorHAnsi" w:cstheme="minorHAnsi"/>
          <w:b w:val="0"/>
          <w:sz w:val="22"/>
          <w:szCs w:val="22"/>
        </w:rPr>
        <w:t>a</w:t>
      </w:r>
      <w:r w:rsidR="00B319BA" w:rsidRPr="00EF26B6">
        <w:rPr>
          <w:rStyle w:val="Strong"/>
          <w:rFonts w:asciiTheme="minorHAnsi" w:hAnsiTheme="minorHAnsi" w:cstheme="minorHAnsi"/>
          <w:b w:val="0"/>
          <w:sz w:val="22"/>
          <w:szCs w:val="22"/>
        </w:rPr>
        <w:t xml:space="preserve"> </w:t>
      </w:r>
      <w:r w:rsidRPr="00EF26B6">
        <w:rPr>
          <w:rStyle w:val="Strong"/>
          <w:rFonts w:asciiTheme="minorHAnsi" w:hAnsiTheme="minorHAnsi" w:cstheme="minorHAnsi"/>
          <w:b w:val="0"/>
          <w:sz w:val="22"/>
          <w:szCs w:val="22"/>
        </w:rPr>
        <w:t xml:space="preserve">mechanism </w:t>
      </w:r>
      <w:r w:rsidR="0067649F" w:rsidRPr="00EF26B6">
        <w:rPr>
          <w:rStyle w:val="Strong"/>
          <w:rFonts w:asciiTheme="minorHAnsi" w:hAnsiTheme="minorHAnsi" w:cstheme="minorHAnsi"/>
          <w:b w:val="0"/>
          <w:sz w:val="22"/>
          <w:szCs w:val="22"/>
        </w:rPr>
        <w:t>to link information</w:t>
      </w:r>
      <w:r w:rsidRPr="00EF26B6">
        <w:rPr>
          <w:rStyle w:val="Strong"/>
          <w:rFonts w:asciiTheme="minorHAnsi" w:hAnsiTheme="minorHAnsi" w:cstheme="minorHAnsi"/>
          <w:b w:val="0"/>
          <w:sz w:val="22"/>
          <w:szCs w:val="22"/>
        </w:rPr>
        <w:t xml:space="preserve"> from</w:t>
      </w:r>
      <w:r w:rsidR="0014405B" w:rsidRPr="00EF26B6">
        <w:rPr>
          <w:rStyle w:val="Strong"/>
          <w:rFonts w:asciiTheme="minorHAnsi" w:hAnsiTheme="minorHAnsi" w:cstheme="minorHAnsi"/>
          <w:b w:val="0"/>
          <w:sz w:val="22"/>
          <w:szCs w:val="22"/>
        </w:rPr>
        <w:t xml:space="preserve"> </w:t>
      </w:r>
      <w:r w:rsidR="00B319BA" w:rsidRPr="00EF26B6">
        <w:rPr>
          <w:rStyle w:val="Strong"/>
          <w:rFonts w:asciiTheme="minorHAnsi" w:hAnsiTheme="minorHAnsi" w:cstheme="minorHAnsi"/>
          <w:b w:val="0"/>
          <w:sz w:val="22"/>
          <w:szCs w:val="22"/>
        </w:rPr>
        <w:t xml:space="preserve">the </w:t>
      </w:r>
      <w:r w:rsidR="00284B10" w:rsidRPr="00EF26B6">
        <w:rPr>
          <w:rStyle w:val="Strong"/>
          <w:rFonts w:asciiTheme="minorHAnsi" w:hAnsiTheme="minorHAnsi" w:cstheme="minorHAnsi"/>
          <w:b w:val="0"/>
          <w:sz w:val="22"/>
          <w:szCs w:val="22"/>
        </w:rPr>
        <w:t>O</w:t>
      </w:r>
      <w:r w:rsidR="00B319BA" w:rsidRPr="00EF26B6">
        <w:rPr>
          <w:rStyle w:val="Strong"/>
          <w:rFonts w:asciiTheme="minorHAnsi" w:hAnsiTheme="minorHAnsi" w:cstheme="minorHAnsi"/>
          <w:b w:val="0"/>
          <w:sz w:val="22"/>
          <w:szCs w:val="22"/>
        </w:rPr>
        <w:t xml:space="preserve">bservation layer to GDE </w:t>
      </w:r>
      <w:r w:rsidR="0067649F" w:rsidRPr="00EF26B6">
        <w:rPr>
          <w:rStyle w:val="Strong"/>
          <w:rFonts w:asciiTheme="minorHAnsi" w:hAnsiTheme="minorHAnsi" w:cstheme="minorHAnsi"/>
          <w:b w:val="0"/>
          <w:sz w:val="22"/>
          <w:szCs w:val="22"/>
        </w:rPr>
        <w:t xml:space="preserve">database.  Providing </w:t>
      </w:r>
      <w:r w:rsidR="00B319BA" w:rsidRPr="00EF26B6">
        <w:rPr>
          <w:rStyle w:val="Strong"/>
          <w:rFonts w:asciiTheme="minorHAnsi" w:hAnsiTheme="minorHAnsi" w:cstheme="minorHAnsi"/>
          <w:b w:val="0"/>
          <w:sz w:val="22"/>
          <w:szCs w:val="22"/>
        </w:rPr>
        <w:t xml:space="preserve">an automated process </w:t>
      </w:r>
      <w:r w:rsidR="0067649F" w:rsidRPr="00EF26B6">
        <w:rPr>
          <w:rStyle w:val="Strong"/>
          <w:rFonts w:asciiTheme="minorHAnsi" w:hAnsiTheme="minorHAnsi" w:cstheme="minorHAnsi"/>
          <w:b w:val="0"/>
          <w:sz w:val="22"/>
          <w:szCs w:val="22"/>
        </w:rPr>
        <w:t xml:space="preserve">for populating the GDE database from the observation layer </w:t>
      </w:r>
      <w:r w:rsidR="00B319BA" w:rsidRPr="00EF26B6">
        <w:rPr>
          <w:rStyle w:val="Strong"/>
          <w:rFonts w:asciiTheme="minorHAnsi" w:hAnsiTheme="minorHAnsi" w:cstheme="minorHAnsi"/>
          <w:b w:val="0"/>
          <w:sz w:val="22"/>
          <w:szCs w:val="22"/>
        </w:rPr>
        <w:t xml:space="preserve">would change the </w:t>
      </w:r>
      <w:r w:rsidR="0014405B" w:rsidRPr="00EF26B6">
        <w:rPr>
          <w:rStyle w:val="Strong"/>
          <w:rFonts w:asciiTheme="minorHAnsi" w:hAnsiTheme="minorHAnsi" w:cstheme="minorHAnsi"/>
          <w:b w:val="0"/>
          <w:sz w:val="22"/>
          <w:szCs w:val="22"/>
        </w:rPr>
        <w:t>scope of the</w:t>
      </w:r>
      <w:r w:rsidR="0067649F" w:rsidRPr="00EF26B6">
        <w:rPr>
          <w:rStyle w:val="Strong"/>
          <w:rFonts w:asciiTheme="minorHAnsi" w:hAnsiTheme="minorHAnsi" w:cstheme="minorHAnsi"/>
          <w:b w:val="0"/>
          <w:sz w:val="22"/>
          <w:szCs w:val="22"/>
        </w:rPr>
        <w:t xml:space="preserve"> current NRM</w:t>
      </w:r>
      <w:r w:rsidR="0014405B" w:rsidRPr="00EF26B6">
        <w:rPr>
          <w:rStyle w:val="Strong"/>
          <w:rFonts w:asciiTheme="minorHAnsi" w:hAnsiTheme="minorHAnsi" w:cstheme="minorHAnsi"/>
          <w:b w:val="0"/>
          <w:sz w:val="22"/>
          <w:szCs w:val="22"/>
        </w:rPr>
        <w:t xml:space="preserve"> project. </w:t>
      </w:r>
      <w:r w:rsidR="0067649F" w:rsidRPr="00EF26B6">
        <w:rPr>
          <w:rStyle w:val="Strong"/>
          <w:rFonts w:asciiTheme="minorHAnsi" w:hAnsiTheme="minorHAnsi" w:cstheme="minorHAnsi"/>
          <w:b w:val="0"/>
          <w:sz w:val="22"/>
          <w:szCs w:val="22"/>
        </w:rPr>
        <w:t>This capability will be needed at some point to avoid having the data steward re-key all the information from the observation layer for a site the elect to enter into the GDE database.</w:t>
      </w:r>
    </w:p>
    <w:p w14:paraId="15FD748F" w14:textId="18C6CD75" w:rsidR="00C952ED" w:rsidRPr="00EF26B6" w:rsidRDefault="00811EF9" w:rsidP="00811EF9">
      <w:pPr>
        <w:spacing w:after="20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u w:val="single"/>
        </w:rPr>
        <w:t>FS Application Dependency Assessment</w:t>
      </w:r>
      <w:r w:rsidRPr="00EF26B6">
        <w:rPr>
          <w:rStyle w:val="Strong"/>
          <w:rFonts w:asciiTheme="minorHAnsi" w:hAnsiTheme="minorHAnsi" w:cstheme="minorHAnsi"/>
          <w:b w:val="0"/>
          <w:sz w:val="22"/>
          <w:szCs w:val="22"/>
        </w:rPr>
        <w:t xml:space="preserve"> - </w:t>
      </w:r>
      <w:r w:rsidR="00E66ED5" w:rsidRPr="00EF26B6">
        <w:rPr>
          <w:rStyle w:val="Strong"/>
          <w:rFonts w:asciiTheme="minorHAnsi" w:hAnsiTheme="minorHAnsi" w:cstheme="minorHAnsi"/>
          <w:b w:val="0"/>
          <w:sz w:val="22"/>
          <w:szCs w:val="22"/>
        </w:rPr>
        <w:t>T</w:t>
      </w:r>
      <w:r w:rsidR="00C952ED" w:rsidRPr="00EF26B6">
        <w:rPr>
          <w:rStyle w:val="Strong"/>
          <w:rFonts w:asciiTheme="minorHAnsi" w:hAnsiTheme="minorHAnsi" w:cstheme="minorHAnsi"/>
          <w:b w:val="0"/>
          <w:sz w:val="22"/>
          <w:szCs w:val="22"/>
        </w:rPr>
        <w:t xml:space="preserve">his </w:t>
      </w:r>
      <w:r w:rsidRPr="00EF26B6">
        <w:rPr>
          <w:rStyle w:val="Strong"/>
          <w:rFonts w:asciiTheme="minorHAnsi" w:hAnsiTheme="minorHAnsi" w:cstheme="minorHAnsi"/>
          <w:b w:val="0"/>
          <w:sz w:val="22"/>
          <w:szCs w:val="22"/>
        </w:rPr>
        <w:t>assessment will allow internal reviewers to provide comments about</w:t>
      </w:r>
      <w:r w:rsidR="00C952ED" w:rsidRPr="00EF26B6">
        <w:rPr>
          <w:rStyle w:val="Strong"/>
          <w:rFonts w:asciiTheme="minorHAnsi" w:hAnsiTheme="minorHAnsi" w:cstheme="minorHAnsi"/>
          <w:b w:val="0"/>
          <w:sz w:val="22"/>
          <w:szCs w:val="22"/>
        </w:rPr>
        <w:t xml:space="preserve"> different FS </w:t>
      </w:r>
      <w:r w:rsidR="007F16CA" w:rsidRPr="00EF26B6">
        <w:rPr>
          <w:rStyle w:val="Strong"/>
          <w:rFonts w:asciiTheme="minorHAnsi" w:hAnsiTheme="minorHAnsi" w:cstheme="minorHAnsi"/>
          <w:b w:val="0"/>
          <w:sz w:val="22"/>
          <w:szCs w:val="22"/>
        </w:rPr>
        <w:t xml:space="preserve">corporate </w:t>
      </w:r>
      <w:r w:rsidR="00C952ED" w:rsidRPr="00EF26B6">
        <w:rPr>
          <w:rStyle w:val="Strong"/>
          <w:rFonts w:asciiTheme="minorHAnsi" w:hAnsiTheme="minorHAnsi" w:cstheme="minorHAnsi"/>
          <w:b w:val="0"/>
          <w:sz w:val="22"/>
          <w:szCs w:val="22"/>
        </w:rPr>
        <w:t>applications</w:t>
      </w:r>
      <w:r w:rsidR="007F16CA" w:rsidRPr="00EF26B6">
        <w:rPr>
          <w:rStyle w:val="Strong"/>
          <w:rFonts w:asciiTheme="minorHAnsi" w:hAnsiTheme="minorHAnsi" w:cstheme="minorHAnsi"/>
          <w:b w:val="0"/>
          <w:sz w:val="22"/>
          <w:szCs w:val="22"/>
        </w:rPr>
        <w:t xml:space="preserve"> (</w:t>
      </w:r>
      <w:r w:rsidRPr="00EF26B6">
        <w:rPr>
          <w:rStyle w:val="Strong"/>
          <w:rFonts w:asciiTheme="minorHAnsi" w:hAnsiTheme="minorHAnsi" w:cstheme="minorHAnsi"/>
          <w:b w:val="0"/>
          <w:sz w:val="22"/>
          <w:szCs w:val="22"/>
        </w:rPr>
        <w:t xml:space="preserve">including </w:t>
      </w:r>
      <w:r w:rsidR="007F16CA" w:rsidRPr="00EF26B6">
        <w:rPr>
          <w:rStyle w:val="Strong"/>
          <w:rFonts w:asciiTheme="minorHAnsi" w:hAnsiTheme="minorHAnsi" w:cstheme="minorHAnsi"/>
          <w:b w:val="0"/>
          <w:sz w:val="22"/>
          <w:szCs w:val="22"/>
        </w:rPr>
        <w:t>NRM applications)</w:t>
      </w:r>
      <w:r w:rsidRPr="00EF26B6">
        <w:rPr>
          <w:rStyle w:val="Strong"/>
          <w:rFonts w:asciiTheme="minorHAnsi" w:hAnsiTheme="minorHAnsi" w:cstheme="minorHAnsi"/>
          <w:b w:val="0"/>
          <w:sz w:val="22"/>
          <w:szCs w:val="22"/>
        </w:rPr>
        <w:t xml:space="preserve"> and their relationship to groundwater inventory, monitoring, and assessment processes</w:t>
      </w:r>
      <w:r w:rsidR="00C952ED" w:rsidRPr="00EF26B6">
        <w:rPr>
          <w:rStyle w:val="Strong"/>
          <w:rFonts w:asciiTheme="minorHAnsi" w:hAnsiTheme="minorHAnsi" w:cstheme="minorHAnsi"/>
          <w:b w:val="0"/>
          <w:sz w:val="22"/>
          <w:szCs w:val="22"/>
        </w:rPr>
        <w:t xml:space="preserve">.  If there are functions that are not currently being met by NRM </w:t>
      </w:r>
      <w:r w:rsidRPr="00EF26B6">
        <w:rPr>
          <w:rStyle w:val="Strong"/>
          <w:rFonts w:asciiTheme="minorHAnsi" w:hAnsiTheme="minorHAnsi" w:cstheme="minorHAnsi"/>
          <w:b w:val="0"/>
          <w:sz w:val="22"/>
          <w:szCs w:val="22"/>
        </w:rPr>
        <w:t xml:space="preserve">or other </w:t>
      </w:r>
      <w:r w:rsidR="00C952ED" w:rsidRPr="00EF26B6">
        <w:rPr>
          <w:rStyle w:val="Strong"/>
          <w:rFonts w:asciiTheme="minorHAnsi" w:hAnsiTheme="minorHAnsi" w:cstheme="minorHAnsi"/>
          <w:b w:val="0"/>
          <w:sz w:val="22"/>
          <w:szCs w:val="22"/>
        </w:rPr>
        <w:t xml:space="preserve">applications, users can help identify these needs </w:t>
      </w:r>
      <w:r w:rsidRPr="00EF26B6">
        <w:rPr>
          <w:rStyle w:val="Strong"/>
          <w:rFonts w:asciiTheme="minorHAnsi" w:hAnsiTheme="minorHAnsi" w:cstheme="minorHAnsi"/>
          <w:b w:val="0"/>
          <w:sz w:val="22"/>
          <w:szCs w:val="22"/>
        </w:rPr>
        <w:t>so they can be included in the development of the NRM Requirements Analysis that is used to identify changes and additions to NRM and other FS applications.</w:t>
      </w:r>
    </w:p>
    <w:p w14:paraId="56B66D08" w14:textId="55A5AA96" w:rsidR="007A7244" w:rsidRPr="00EF26B6" w:rsidRDefault="00811EF9" w:rsidP="0067649F">
      <w:pPr>
        <w:spacing w:after="200"/>
        <w:rPr>
          <w:rStyle w:val="Strong"/>
          <w:rFonts w:asciiTheme="minorHAnsi" w:hAnsiTheme="minorHAnsi" w:cstheme="minorHAnsi"/>
          <w:b w:val="0"/>
          <w:sz w:val="22"/>
          <w:szCs w:val="22"/>
        </w:rPr>
      </w:pPr>
      <w:r w:rsidRPr="00EF26B6">
        <w:rPr>
          <w:rStyle w:val="Strong"/>
          <w:rFonts w:asciiTheme="minorHAnsi" w:hAnsiTheme="minorHAnsi" w:cstheme="minorHAnsi"/>
          <w:b w:val="0"/>
          <w:sz w:val="22"/>
          <w:szCs w:val="22"/>
          <w:u w:val="single"/>
        </w:rPr>
        <w:t>Link to the “0.5 GDE Inventory” Discussions</w:t>
      </w:r>
      <w:r w:rsidR="00E66ED5" w:rsidRPr="00EF26B6">
        <w:rPr>
          <w:rStyle w:val="Strong"/>
          <w:rFonts w:asciiTheme="minorHAnsi" w:hAnsiTheme="minorHAnsi" w:cstheme="minorHAnsi"/>
          <w:b w:val="0"/>
          <w:sz w:val="22"/>
          <w:szCs w:val="22"/>
        </w:rPr>
        <w:t xml:space="preserve"> – </w:t>
      </w:r>
      <w:r w:rsidR="007A7244" w:rsidRPr="00EF26B6">
        <w:rPr>
          <w:rStyle w:val="Strong"/>
          <w:rFonts w:asciiTheme="minorHAnsi" w:hAnsiTheme="minorHAnsi" w:cstheme="minorHAnsi"/>
          <w:b w:val="0"/>
          <w:sz w:val="22"/>
          <w:szCs w:val="22"/>
        </w:rPr>
        <w:t xml:space="preserve">Pete has a prototype of the “Observation Layer” and supporting Geodatabase Design.  During </w:t>
      </w:r>
      <w:r w:rsidRPr="00EF26B6">
        <w:rPr>
          <w:rStyle w:val="Strong"/>
          <w:rFonts w:asciiTheme="minorHAnsi" w:hAnsiTheme="minorHAnsi" w:cstheme="minorHAnsi"/>
          <w:b w:val="0"/>
          <w:sz w:val="22"/>
          <w:szCs w:val="22"/>
        </w:rPr>
        <w:t>the Core Team discussion</w:t>
      </w:r>
      <w:r w:rsidR="007A7244" w:rsidRPr="00EF26B6">
        <w:rPr>
          <w:rStyle w:val="Strong"/>
          <w:rFonts w:asciiTheme="minorHAnsi" w:hAnsiTheme="minorHAnsi" w:cstheme="minorHAnsi"/>
          <w:b w:val="0"/>
          <w:sz w:val="22"/>
          <w:szCs w:val="22"/>
        </w:rPr>
        <w:t xml:space="preserve">, Joe asked if there was an opportunity to brief the group who had been involved in the “0.5 observation database” discussion.  </w:t>
      </w:r>
      <w:r w:rsidRPr="00EF26B6">
        <w:rPr>
          <w:rStyle w:val="Strong"/>
          <w:rFonts w:asciiTheme="minorHAnsi" w:hAnsiTheme="minorHAnsi" w:cstheme="minorHAnsi"/>
          <w:b w:val="0"/>
          <w:sz w:val="22"/>
          <w:szCs w:val="22"/>
        </w:rPr>
        <w:t xml:space="preserve">The purpose of this discussion was to make sure the proposed solution meets the needs identified by this group prior to the internal FS review.  </w:t>
      </w:r>
      <w:r w:rsidR="007A7244" w:rsidRPr="00EF26B6">
        <w:rPr>
          <w:rStyle w:val="Strong"/>
          <w:rFonts w:asciiTheme="minorHAnsi" w:hAnsiTheme="minorHAnsi" w:cstheme="minorHAnsi"/>
          <w:b w:val="0"/>
          <w:sz w:val="22"/>
          <w:szCs w:val="22"/>
        </w:rPr>
        <w:t>Pete agreed to brief Joe Gurrieri on the design and to set up a discussion with the “0.5 group”.  Pete and Joe will work out these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2"/>
        <w:gridCol w:w="8304"/>
      </w:tblGrid>
      <w:tr w:rsidR="0067649F" w:rsidRPr="00EF26B6" w14:paraId="150279FE" w14:textId="77777777" w:rsidTr="0067649F">
        <w:tc>
          <w:tcPr>
            <w:tcW w:w="1092" w:type="dxa"/>
            <w:shd w:val="clear" w:color="auto" w:fill="C6D9F1" w:themeFill="text2" w:themeFillTint="33"/>
          </w:tcPr>
          <w:p w14:paraId="51D08DCE" w14:textId="1B0EBA8D" w:rsidR="0067649F" w:rsidRPr="00EF26B6" w:rsidRDefault="0067649F" w:rsidP="0067649F">
            <w:pPr>
              <w:rPr>
                <w:rStyle w:val="Strong"/>
                <w:rFonts w:asciiTheme="minorHAnsi" w:hAnsiTheme="minorHAnsi" w:cs="Arial"/>
                <w:sz w:val="22"/>
                <w:szCs w:val="22"/>
              </w:rPr>
            </w:pPr>
            <w:r w:rsidRPr="00EF26B6">
              <w:rPr>
                <w:rStyle w:val="Strong"/>
                <w:rFonts w:asciiTheme="minorHAnsi" w:hAnsiTheme="minorHAnsi" w:cs="Arial"/>
                <w:sz w:val="22"/>
                <w:szCs w:val="22"/>
              </w:rPr>
              <w:t xml:space="preserve">Actions:  </w:t>
            </w:r>
          </w:p>
        </w:tc>
        <w:tc>
          <w:tcPr>
            <w:tcW w:w="8304" w:type="dxa"/>
            <w:shd w:val="clear" w:color="auto" w:fill="C6D9F1" w:themeFill="text2" w:themeFillTint="33"/>
          </w:tcPr>
          <w:p w14:paraId="48DCFCC4" w14:textId="1024009B" w:rsidR="0067649F" w:rsidRPr="00EF26B6" w:rsidRDefault="00BF4C13" w:rsidP="0067649F">
            <w:pPr>
              <w:pStyle w:val="ListParagraph"/>
              <w:numPr>
                <w:ilvl w:val="0"/>
                <w:numId w:val="4"/>
              </w:numPr>
              <w:shd w:val="clear" w:color="auto" w:fill="C6D9F1" w:themeFill="text2" w:themeFillTint="33"/>
              <w:spacing w:after="120"/>
              <w:ind w:left="159" w:hanging="202"/>
              <w:contextualSpacing w:val="0"/>
              <w:rPr>
                <w:rStyle w:val="Strong"/>
                <w:rFonts w:asciiTheme="minorHAnsi" w:hAnsiTheme="minorHAnsi" w:cs="Arial"/>
                <w:b w:val="0"/>
                <w:sz w:val="22"/>
                <w:szCs w:val="22"/>
              </w:rPr>
            </w:pPr>
            <w:r w:rsidRPr="00EF26B6">
              <w:rPr>
                <w:rStyle w:val="Strong"/>
                <w:rFonts w:asciiTheme="minorHAnsi" w:hAnsiTheme="minorHAnsi" w:cs="Arial"/>
                <w:b w:val="0"/>
                <w:sz w:val="22"/>
                <w:szCs w:val="22"/>
              </w:rPr>
              <w:t>Joe and Pete will discuss the observation layer prototype and a discussion with the “0.5 inventory discussion group”.</w:t>
            </w:r>
          </w:p>
          <w:p w14:paraId="1B833E87" w14:textId="2349A955" w:rsidR="0067649F" w:rsidRPr="00EF26B6" w:rsidRDefault="00BF4C13" w:rsidP="00BF4C13">
            <w:pPr>
              <w:pStyle w:val="ListParagraph"/>
              <w:numPr>
                <w:ilvl w:val="0"/>
                <w:numId w:val="4"/>
              </w:numPr>
              <w:shd w:val="clear" w:color="auto" w:fill="C6D9F1" w:themeFill="text2" w:themeFillTint="33"/>
              <w:spacing w:after="120"/>
              <w:ind w:left="159" w:hanging="202"/>
              <w:contextualSpacing w:val="0"/>
              <w:rPr>
                <w:rStyle w:val="Strong"/>
                <w:rFonts w:asciiTheme="minorHAnsi" w:hAnsiTheme="minorHAnsi" w:cs="Arial"/>
                <w:b w:val="0"/>
                <w:sz w:val="22"/>
                <w:szCs w:val="22"/>
              </w:rPr>
            </w:pPr>
            <w:r w:rsidRPr="00EF26B6">
              <w:rPr>
                <w:rStyle w:val="Strong"/>
                <w:rFonts w:asciiTheme="minorHAnsi" w:hAnsiTheme="minorHAnsi" w:cs="Arial"/>
                <w:b w:val="0"/>
                <w:sz w:val="22"/>
                <w:szCs w:val="22"/>
              </w:rPr>
              <w:t>We will set up a process to allow TNC to review and comment on the GIS Data Dictionary and Geodatabase design during the partner review period (Pete Kilbourne will work with Allison Aldous).</w:t>
            </w:r>
          </w:p>
        </w:tc>
      </w:tr>
    </w:tbl>
    <w:p w14:paraId="69D9564C" w14:textId="77777777" w:rsidR="0067649F" w:rsidRPr="00EF26B6" w:rsidRDefault="0067649F" w:rsidP="009B5F4F">
      <w:pPr>
        <w:rPr>
          <w:rStyle w:val="Strong"/>
          <w:rFonts w:asciiTheme="minorHAnsi" w:hAnsiTheme="minorHAnsi" w:cstheme="minorHAnsi"/>
          <w:b w:val="0"/>
          <w:sz w:val="22"/>
          <w:szCs w:val="22"/>
        </w:rPr>
      </w:pPr>
    </w:p>
    <w:p w14:paraId="37980760" w14:textId="61638802" w:rsidR="009B5F4F" w:rsidRPr="00EF26B6" w:rsidRDefault="009B5F4F" w:rsidP="00F7210F">
      <w:pPr>
        <w:pStyle w:val="Heading1"/>
        <w:shd w:val="clear" w:color="auto" w:fill="C6D9F1" w:themeFill="text2" w:themeFillTint="33"/>
        <w:tabs>
          <w:tab w:val="clear" w:pos="450"/>
          <w:tab w:val="num" w:pos="360"/>
        </w:tabs>
        <w:ind w:left="360"/>
        <w:rPr>
          <w:bCs/>
          <w:color w:val="auto"/>
        </w:rPr>
      </w:pPr>
      <w:r w:rsidRPr="00EF26B6">
        <w:rPr>
          <w:bCs/>
          <w:color w:val="auto"/>
        </w:rPr>
        <w:t>Revision of TG for Managing Groundwater Resources</w:t>
      </w:r>
    </w:p>
    <w:p w14:paraId="5C673896" w14:textId="77777777" w:rsidR="001E4679" w:rsidRPr="00EF26B6" w:rsidRDefault="001E4679" w:rsidP="00C952ED">
      <w:pPr>
        <w:rPr>
          <w:rStyle w:val="Strong"/>
          <w:rFonts w:asciiTheme="minorHAnsi" w:hAnsiTheme="minorHAnsi" w:cstheme="minorHAnsi"/>
          <w:b w:val="0"/>
          <w:bCs w:val="0"/>
          <w:sz w:val="22"/>
          <w:szCs w:val="22"/>
        </w:rPr>
      </w:pPr>
      <w:r w:rsidRPr="00EF26B6">
        <w:rPr>
          <w:rStyle w:val="Strong"/>
          <w:rFonts w:asciiTheme="minorHAnsi" w:hAnsiTheme="minorHAnsi" w:cstheme="minorHAnsi"/>
          <w:b w:val="0"/>
          <w:bCs w:val="0"/>
          <w:sz w:val="22"/>
          <w:szCs w:val="22"/>
        </w:rPr>
        <w:t xml:space="preserve">The effort to revise this Technical Guide will start at the beginning of next year.  The first step of this process is to define the scope of the revision effort.  </w:t>
      </w:r>
      <w:r w:rsidR="007F16CA" w:rsidRPr="00EF26B6">
        <w:rPr>
          <w:rStyle w:val="Strong"/>
          <w:rFonts w:asciiTheme="minorHAnsi" w:hAnsiTheme="minorHAnsi" w:cstheme="minorHAnsi"/>
          <w:b w:val="0"/>
          <w:bCs w:val="0"/>
          <w:sz w:val="22"/>
          <w:szCs w:val="22"/>
        </w:rPr>
        <w:t>Steve Solem took a f</w:t>
      </w:r>
      <w:r w:rsidR="00C952ED" w:rsidRPr="00EF26B6">
        <w:rPr>
          <w:rStyle w:val="Strong"/>
          <w:rFonts w:asciiTheme="minorHAnsi" w:hAnsiTheme="minorHAnsi" w:cstheme="minorHAnsi"/>
          <w:b w:val="0"/>
          <w:bCs w:val="0"/>
          <w:sz w:val="22"/>
          <w:szCs w:val="22"/>
        </w:rPr>
        <w:t xml:space="preserve">irst cut </w:t>
      </w:r>
      <w:r w:rsidR="007F16CA" w:rsidRPr="00EF26B6">
        <w:rPr>
          <w:rStyle w:val="Strong"/>
          <w:rFonts w:asciiTheme="minorHAnsi" w:hAnsiTheme="minorHAnsi" w:cstheme="minorHAnsi"/>
          <w:b w:val="0"/>
          <w:bCs w:val="0"/>
          <w:sz w:val="22"/>
          <w:szCs w:val="22"/>
        </w:rPr>
        <w:t>at</w:t>
      </w:r>
      <w:r w:rsidR="00C952ED" w:rsidRPr="00EF26B6">
        <w:rPr>
          <w:rStyle w:val="Strong"/>
          <w:rFonts w:asciiTheme="minorHAnsi" w:hAnsiTheme="minorHAnsi" w:cstheme="minorHAnsi"/>
          <w:b w:val="0"/>
          <w:bCs w:val="0"/>
          <w:sz w:val="22"/>
          <w:szCs w:val="22"/>
        </w:rPr>
        <w:t xml:space="preserve"> identify</w:t>
      </w:r>
      <w:r w:rsidR="007F16CA" w:rsidRPr="00EF26B6">
        <w:rPr>
          <w:rStyle w:val="Strong"/>
          <w:rFonts w:asciiTheme="minorHAnsi" w:hAnsiTheme="minorHAnsi" w:cstheme="minorHAnsi"/>
          <w:b w:val="0"/>
          <w:bCs w:val="0"/>
          <w:sz w:val="22"/>
          <w:szCs w:val="22"/>
        </w:rPr>
        <w:t>ing</w:t>
      </w:r>
      <w:r w:rsidR="00C952ED" w:rsidRPr="00EF26B6">
        <w:rPr>
          <w:rStyle w:val="Strong"/>
          <w:rFonts w:asciiTheme="minorHAnsi" w:hAnsiTheme="minorHAnsi" w:cstheme="minorHAnsi"/>
          <w:b w:val="0"/>
          <w:bCs w:val="0"/>
          <w:sz w:val="22"/>
          <w:szCs w:val="22"/>
        </w:rPr>
        <w:t xml:space="preserve"> </w:t>
      </w:r>
      <w:r w:rsidRPr="00EF26B6">
        <w:rPr>
          <w:rStyle w:val="Strong"/>
          <w:rFonts w:asciiTheme="minorHAnsi" w:hAnsiTheme="minorHAnsi" w:cstheme="minorHAnsi"/>
          <w:b w:val="0"/>
          <w:bCs w:val="0"/>
          <w:sz w:val="22"/>
          <w:szCs w:val="22"/>
        </w:rPr>
        <w:t>the potential scope using the outline of the Technical Guide as an index for changes.  The analysis identifies:</w:t>
      </w:r>
    </w:p>
    <w:p w14:paraId="3E9EEC7E" w14:textId="77777777" w:rsidR="001E4679" w:rsidRPr="00EF26B6" w:rsidRDefault="001E4679" w:rsidP="00C952ED">
      <w:pPr>
        <w:rPr>
          <w:rStyle w:val="Strong"/>
          <w:rFonts w:asciiTheme="minorHAnsi" w:hAnsiTheme="minorHAnsi" w:cstheme="minorHAnsi"/>
          <w:b w:val="0"/>
          <w:bCs w:val="0"/>
          <w:sz w:val="22"/>
          <w:szCs w:val="22"/>
        </w:rPr>
      </w:pPr>
    </w:p>
    <w:p w14:paraId="762E52C9" w14:textId="536EBE40" w:rsidR="001E4679" w:rsidRPr="00EF26B6" w:rsidRDefault="001E4679" w:rsidP="00F659A2">
      <w:pPr>
        <w:pStyle w:val="ListParagraph"/>
        <w:numPr>
          <w:ilvl w:val="0"/>
          <w:numId w:val="24"/>
        </w:numPr>
        <w:rPr>
          <w:rStyle w:val="Strong"/>
          <w:rFonts w:asciiTheme="minorHAnsi" w:hAnsiTheme="minorHAnsi"/>
          <w:bCs w:val="0"/>
          <w:sz w:val="22"/>
          <w:szCs w:val="22"/>
        </w:rPr>
      </w:pPr>
      <w:r w:rsidRPr="00EF26B6">
        <w:rPr>
          <w:rStyle w:val="Strong"/>
          <w:rFonts w:asciiTheme="minorHAnsi" w:hAnsiTheme="minorHAnsi" w:cstheme="minorHAnsi"/>
          <w:b w:val="0"/>
          <w:bCs w:val="0"/>
          <w:sz w:val="22"/>
          <w:szCs w:val="22"/>
        </w:rPr>
        <w:t>C</w:t>
      </w:r>
      <w:r w:rsidR="007F16CA" w:rsidRPr="00EF26B6">
        <w:rPr>
          <w:rStyle w:val="Strong"/>
          <w:rFonts w:asciiTheme="minorHAnsi" w:hAnsiTheme="minorHAnsi" w:cstheme="minorHAnsi"/>
          <w:b w:val="0"/>
          <w:bCs w:val="0"/>
          <w:sz w:val="22"/>
          <w:szCs w:val="22"/>
        </w:rPr>
        <w:t xml:space="preserve">ontent moved to IM&amp;A Technical Guide and </w:t>
      </w:r>
      <w:r w:rsidRPr="00EF26B6">
        <w:rPr>
          <w:rStyle w:val="Strong"/>
          <w:rFonts w:asciiTheme="minorHAnsi" w:hAnsiTheme="minorHAnsi" w:cstheme="minorHAnsi"/>
          <w:b w:val="0"/>
          <w:bCs w:val="0"/>
          <w:sz w:val="22"/>
          <w:szCs w:val="22"/>
        </w:rPr>
        <w:t xml:space="preserve">accompanying </w:t>
      </w:r>
      <w:r w:rsidR="007F16CA" w:rsidRPr="00EF26B6">
        <w:rPr>
          <w:rStyle w:val="Strong"/>
          <w:rFonts w:asciiTheme="minorHAnsi" w:hAnsiTheme="minorHAnsi" w:cstheme="minorHAnsi"/>
          <w:b w:val="0"/>
          <w:bCs w:val="0"/>
          <w:sz w:val="22"/>
          <w:szCs w:val="22"/>
        </w:rPr>
        <w:t>Tech</w:t>
      </w:r>
      <w:r w:rsidRPr="00EF26B6">
        <w:rPr>
          <w:rStyle w:val="Strong"/>
          <w:rFonts w:asciiTheme="minorHAnsi" w:hAnsiTheme="minorHAnsi" w:cstheme="minorHAnsi"/>
          <w:b w:val="0"/>
          <w:bCs w:val="0"/>
          <w:sz w:val="22"/>
          <w:szCs w:val="22"/>
        </w:rPr>
        <w:t xml:space="preserve">nical </w:t>
      </w:r>
      <w:r w:rsidR="007F16CA" w:rsidRPr="00EF26B6">
        <w:rPr>
          <w:rStyle w:val="Strong"/>
          <w:rFonts w:asciiTheme="minorHAnsi" w:hAnsiTheme="minorHAnsi" w:cstheme="minorHAnsi"/>
          <w:b w:val="0"/>
          <w:bCs w:val="0"/>
          <w:sz w:val="22"/>
          <w:szCs w:val="22"/>
        </w:rPr>
        <w:t>Not</w:t>
      </w:r>
      <w:r w:rsidRPr="00EF26B6">
        <w:rPr>
          <w:rStyle w:val="Strong"/>
          <w:rFonts w:asciiTheme="minorHAnsi" w:hAnsiTheme="minorHAnsi"/>
          <w:bCs w:val="0"/>
          <w:sz w:val="22"/>
          <w:szCs w:val="22"/>
        </w:rPr>
        <w:t xml:space="preserve">es, </w:t>
      </w:r>
    </w:p>
    <w:p w14:paraId="0C4A758F" w14:textId="77777777" w:rsidR="001E4679" w:rsidRPr="00EF26B6" w:rsidRDefault="001E4679" w:rsidP="00F659A2">
      <w:pPr>
        <w:pStyle w:val="ListParagraph"/>
        <w:numPr>
          <w:ilvl w:val="0"/>
          <w:numId w:val="24"/>
        </w:numPr>
        <w:rPr>
          <w:rStyle w:val="Strong"/>
          <w:rFonts w:asciiTheme="minorHAnsi" w:hAnsiTheme="minorHAnsi"/>
          <w:bCs w:val="0"/>
          <w:sz w:val="22"/>
          <w:szCs w:val="22"/>
        </w:rPr>
      </w:pPr>
      <w:r w:rsidRPr="00EF26B6">
        <w:rPr>
          <w:rStyle w:val="Strong"/>
          <w:rFonts w:asciiTheme="minorHAnsi" w:hAnsiTheme="minorHAnsi" w:cstheme="minorHAnsi"/>
          <w:b w:val="0"/>
          <w:bCs w:val="0"/>
          <w:sz w:val="22"/>
          <w:szCs w:val="22"/>
        </w:rPr>
        <w:t xml:space="preserve">Information that could be included in a new set of Technical Notes, </w:t>
      </w:r>
    </w:p>
    <w:p w14:paraId="72E68E41" w14:textId="77777777" w:rsidR="001E4679" w:rsidRPr="00EF26B6" w:rsidRDefault="001E4679" w:rsidP="00F659A2">
      <w:pPr>
        <w:pStyle w:val="ListParagraph"/>
        <w:numPr>
          <w:ilvl w:val="0"/>
          <w:numId w:val="24"/>
        </w:numPr>
        <w:rPr>
          <w:rStyle w:val="Strong"/>
          <w:rFonts w:asciiTheme="minorHAnsi" w:hAnsiTheme="minorHAnsi"/>
          <w:bCs w:val="0"/>
          <w:sz w:val="22"/>
          <w:szCs w:val="22"/>
        </w:rPr>
      </w:pPr>
      <w:r w:rsidRPr="00EF26B6">
        <w:rPr>
          <w:rStyle w:val="Strong"/>
          <w:rFonts w:asciiTheme="minorHAnsi" w:hAnsiTheme="minorHAnsi" w:cstheme="minorHAnsi"/>
          <w:b w:val="0"/>
          <w:bCs w:val="0"/>
          <w:sz w:val="22"/>
          <w:szCs w:val="22"/>
        </w:rPr>
        <w:t xml:space="preserve">Information that needs to be consistent with the new IM&amp;A Technical Guide, and </w:t>
      </w:r>
    </w:p>
    <w:p w14:paraId="6A31A91E" w14:textId="0AF1B63F" w:rsidR="00C952ED" w:rsidRPr="00EF26B6" w:rsidRDefault="001E4679" w:rsidP="00F659A2">
      <w:pPr>
        <w:pStyle w:val="ListParagraph"/>
        <w:numPr>
          <w:ilvl w:val="0"/>
          <w:numId w:val="24"/>
        </w:numPr>
        <w:rPr>
          <w:rStyle w:val="Strong"/>
          <w:rFonts w:asciiTheme="minorHAnsi" w:hAnsiTheme="minorHAnsi"/>
          <w:bCs w:val="0"/>
          <w:sz w:val="22"/>
          <w:szCs w:val="22"/>
        </w:rPr>
      </w:pPr>
      <w:r w:rsidRPr="00EF26B6">
        <w:rPr>
          <w:rStyle w:val="Strong"/>
          <w:rFonts w:asciiTheme="minorHAnsi" w:hAnsiTheme="minorHAnsi" w:cstheme="minorHAnsi"/>
          <w:b w:val="0"/>
          <w:bCs w:val="0"/>
          <w:sz w:val="22"/>
          <w:szCs w:val="22"/>
        </w:rPr>
        <w:t xml:space="preserve">Ideas on new areas of discussions such as climate change, secondary and </w:t>
      </w:r>
      <w:proofErr w:type="spellStart"/>
      <w:r w:rsidRPr="00EF26B6">
        <w:rPr>
          <w:rStyle w:val="Strong"/>
          <w:rFonts w:asciiTheme="minorHAnsi" w:hAnsiTheme="minorHAnsi" w:cstheme="minorHAnsi"/>
          <w:b w:val="0"/>
          <w:bCs w:val="0"/>
          <w:sz w:val="22"/>
          <w:szCs w:val="22"/>
        </w:rPr>
        <w:t>tirtiatry</w:t>
      </w:r>
      <w:proofErr w:type="spellEnd"/>
      <w:r w:rsidRPr="00EF26B6">
        <w:rPr>
          <w:rStyle w:val="Strong"/>
          <w:rFonts w:asciiTheme="minorHAnsi" w:hAnsiTheme="minorHAnsi" w:cstheme="minorHAnsi"/>
          <w:b w:val="0"/>
          <w:bCs w:val="0"/>
          <w:sz w:val="22"/>
          <w:szCs w:val="22"/>
        </w:rPr>
        <w:t xml:space="preserve"> oil and gas extraction methods such </w:t>
      </w:r>
      <w:proofErr w:type="spellStart"/>
      <w:r w:rsidRPr="00EF26B6">
        <w:rPr>
          <w:rStyle w:val="Strong"/>
          <w:rFonts w:asciiTheme="minorHAnsi" w:hAnsiTheme="minorHAnsi" w:cstheme="minorHAnsi"/>
          <w:b w:val="0"/>
          <w:bCs w:val="0"/>
          <w:sz w:val="22"/>
          <w:szCs w:val="22"/>
        </w:rPr>
        <w:t>as“fracking</w:t>
      </w:r>
      <w:proofErr w:type="spellEnd"/>
      <w:r w:rsidRPr="00EF26B6">
        <w:rPr>
          <w:rStyle w:val="Strong"/>
          <w:rFonts w:asciiTheme="minorHAnsi" w:hAnsiTheme="minorHAnsi" w:cstheme="minorHAnsi"/>
          <w:b w:val="0"/>
          <w:bCs w:val="0"/>
          <w:sz w:val="22"/>
          <w:szCs w:val="22"/>
        </w:rPr>
        <w:t>”, and determining environmental flows and levels</w:t>
      </w:r>
    </w:p>
    <w:p w14:paraId="20C2BEAA" w14:textId="663EC189" w:rsidR="00E748E4" w:rsidRPr="00EF26B6" w:rsidRDefault="00EF26B6" w:rsidP="002E24F7">
      <w:pPr>
        <w:spacing w:before="200" w:after="200"/>
        <w:rPr>
          <w:rStyle w:val="Strong"/>
          <w:rFonts w:asciiTheme="minorHAnsi" w:hAnsiTheme="minorHAnsi" w:cs="Arial"/>
          <w:b w:val="0"/>
          <w:sz w:val="22"/>
          <w:szCs w:val="22"/>
        </w:rPr>
      </w:pPr>
      <w:r w:rsidRPr="00EF26B6">
        <w:rPr>
          <w:rStyle w:val="Strong"/>
          <w:rFonts w:asciiTheme="minorHAnsi" w:hAnsiTheme="minorHAnsi" w:cstheme="minorHAnsi"/>
          <w:b w:val="0"/>
          <w:bCs w:val="0"/>
          <w:sz w:val="22"/>
          <w:szCs w:val="22"/>
        </w:rPr>
        <w:t>Joe Gurrieri asked the Core Team to review the analysis and offer ideas on additional changes for discussion on the January 9 call.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2"/>
        <w:gridCol w:w="8304"/>
      </w:tblGrid>
      <w:tr w:rsidR="00E748E4" w:rsidRPr="00EF26B6" w14:paraId="4EC75B07" w14:textId="77777777" w:rsidTr="00E748E4">
        <w:tc>
          <w:tcPr>
            <w:tcW w:w="1092" w:type="dxa"/>
            <w:shd w:val="clear" w:color="auto" w:fill="C6D9F1" w:themeFill="text2" w:themeFillTint="33"/>
          </w:tcPr>
          <w:p w14:paraId="6A19515A" w14:textId="77777777" w:rsidR="00E748E4" w:rsidRPr="00EF26B6" w:rsidRDefault="00E748E4" w:rsidP="00E748E4">
            <w:pPr>
              <w:rPr>
                <w:rStyle w:val="Strong"/>
                <w:rFonts w:asciiTheme="minorHAnsi" w:hAnsiTheme="minorHAnsi" w:cs="Arial"/>
                <w:sz w:val="22"/>
                <w:szCs w:val="22"/>
              </w:rPr>
            </w:pPr>
            <w:r w:rsidRPr="00EF26B6">
              <w:rPr>
                <w:rStyle w:val="Strong"/>
                <w:rFonts w:asciiTheme="minorHAnsi" w:hAnsiTheme="minorHAnsi" w:cs="Arial"/>
                <w:sz w:val="22"/>
                <w:szCs w:val="22"/>
              </w:rPr>
              <w:t xml:space="preserve">Action:  </w:t>
            </w:r>
          </w:p>
        </w:tc>
        <w:tc>
          <w:tcPr>
            <w:tcW w:w="8304" w:type="dxa"/>
            <w:shd w:val="clear" w:color="auto" w:fill="C6D9F1" w:themeFill="text2" w:themeFillTint="33"/>
          </w:tcPr>
          <w:p w14:paraId="6852E27A" w14:textId="1EB59EFE" w:rsidR="00E748E4" w:rsidRPr="00EF26B6" w:rsidRDefault="00EF26B6" w:rsidP="00EF26B6">
            <w:pPr>
              <w:pStyle w:val="ListParagraph"/>
              <w:numPr>
                <w:ilvl w:val="0"/>
                <w:numId w:val="4"/>
              </w:numPr>
              <w:shd w:val="clear" w:color="auto" w:fill="C6D9F1" w:themeFill="text2" w:themeFillTint="33"/>
              <w:spacing w:after="120"/>
              <w:ind w:left="159" w:hanging="202"/>
              <w:contextualSpacing w:val="0"/>
              <w:rPr>
                <w:rStyle w:val="Strong"/>
                <w:rFonts w:asciiTheme="minorHAnsi" w:hAnsiTheme="minorHAnsi" w:cs="Arial"/>
                <w:b w:val="0"/>
                <w:sz w:val="22"/>
                <w:szCs w:val="22"/>
              </w:rPr>
            </w:pPr>
            <w:r w:rsidRPr="00EF26B6">
              <w:rPr>
                <w:rStyle w:val="Strong"/>
                <w:rFonts w:asciiTheme="minorHAnsi" w:hAnsiTheme="minorHAnsi" w:cs="Arial"/>
                <w:b w:val="0"/>
                <w:sz w:val="22"/>
                <w:szCs w:val="22"/>
              </w:rPr>
              <w:t xml:space="preserve">Core Team </w:t>
            </w:r>
            <w:proofErr w:type="gramStart"/>
            <w:r w:rsidRPr="00EF26B6">
              <w:rPr>
                <w:rStyle w:val="Strong"/>
                <w:rFonts w:asciiTheme="minorHAnsi" w:hAnsiTheme="minorHAnsi" w:cs="Arial"/>
                <w:b w:val="0"/>
                <w:sz w:val="22"/>
                <w:szCs w:val="22"/>
              </w:rPr>
              <w:t>members</w:t>
            </w:r>
            <w:proofErr w:type="gramEnd"/>
            <w:r w:rsidRPr="00EF26B6">
              <w:rPr>
                <w:rStyle w:val="Strong"/>
                <w:rFonts w:asciiTheme="minorHAnsi" w:hAnsiTheme="minorHAnsi" w:cs="Arial"/>
                <w:b w:val="0"/>
                <w:sz w:val="22"/>
                <w:szCs w:val="22"/>
              </w:rPr>
              <w:t xml:space="preserve"> review the revision scope analysis and provide Joe Gurrieri suggestions by November 22.</w:t>
            </w:r>
          </w:p>
        </w:tc>
      </w:tr>
    </w:tbl>
    <w:p w14:paraId="0A34BBA1" w14:textId="40FADB0F" w:rsidR="00E748E4" w:rsidRPr="00215ED8" w:rsidRDefault="00E748E4" w:rsidP="00E748E4">
      <w:pPr>
        <w:spacing w:before="240" w:after="200"/>
        <w:ind w:left="180"/>
        <w:rPr>
          <w:rStyle w:val="Strong"/>
          <w:rFonts w:asciiTheme="minorHAnsi" w:hAnsiTheme="minorHAnsi" w:cs="Arial"/>
          <w:b w:val="0"/>
          <w:color w:val="000000"/>
          <w:sz w:val="22"/>
          <w:szCs w:val="22"/>
        </w:rPr>
      </w:pPr>
    </w:p>
    <w:sectPr w:rsidR="00E748E4" w:rsidRPr="00215ED8" w:rsidSect="00C952BC">
      <w:footerReference w:type="default" r:id="rId10"/>
      <w:pgSz w:w="12240" w:h="15840"/>
      <w:pgMar w:top="900" w:right="1260" w:bottom="126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92EF52" w15:done="0"/>
  <w15:commentEx w15:paraId="04D9EF6B" w15:done="0"/>
  <w15:commentEx w15:paraId="55532D46" w15:done="0"/>
  <w15:commentEx w15:paraId="72A191FE" w15:done="0"/>
  <w15:commentEx w15:paraId="42B7824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B3BCD" w14:textId="77777777" w:rsidR="00F659A2" w:rsidRDefault="00F659A2" w:rsidP="002744C0">
      <w:r>
        <w:separator/>
      </w:r>
    </w:p>
  </w:endnote>
  <w:endnote w:type="continuationSeparator" w:id="0">
    <w:p w14:paraId="4A1CC40C" w14:textId="77777777" w:rsidR="00F659A2" w:rsidRDefault="00F659A2" w:rsidP="0027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B1C73" w14:textId="189C7602" w:rsidR="00F659A2" w:rsidRPr="002744C0" w:rsidRDefault="00F659A2" w:rsidP="004D40F2">
    <w:pPr>
      <w:pStyle w:val="Footer"/>
      <w:pBdr>
        <w:top w:val="single" w:sz="4" w:space="1" w:color="auto"/>
      </w:pBdr>
      <w:tabs>
        <w:tab w:val="clear" w:pos="8640"/>
        <w:tab w:val="right" w:pos="9000"/>
      </w:tabs>
      <w:rPr>
        <w:rFonts w:asciiTheme="minorHAnsi" w:hAnsiTheme="minorHAnsi"/>
        <w:b/>
        <w:i/>
        <w:sz w:val="20"/>
        <w:szCs w:val="20"/>
      </w:rPr>
    </w:pPr>
    <w:r>
      <w:rPr>
        <w:rStyle w:val="PageNumber"/>
        <w:rFonts w:asciiTheme="minorHAnsi" w:hAnsiTheme="minorHAnsi"/>
        <w:b/>
        <w:i/>
        <w:sz w:val="20"/>
        <w:szCs w:val="20"/>
      </w:rPr>
      <w:t>Groundwater IM&amp;A Technical Guide Core T</w:t>
    </w:r>
    <w:r w:rsidR="00FA5988">
      <w:rPr>
        <w:rStyle w:val="PageNumber"/>
        <w:rFonts w:asciiTheme="minorHAnsi" w:hAnsiTheme="minorHAnsi"/>
        <w:b/>
        <w:i/>
        <w:sz w:val="20"/>
        <w:szCs w:val="20"/>
      </w:rPr>
      <w:t>eam Meeting Notes 10/31/13 (v1.2</w:t>
    </w:r>
    <w:r>
      <w:rPr>
        <w:rStyle w:val="PageNumber"/>
        <w:rFonts w:asciiTheme="minorHAnsi" w:hAnsiTheme="minorHAnsi"/>
        <w:b/>
        <w:i/>
        <w:sz w:val="20"/>
        <w:szCs w:val="20"/>
      </w:rPr>
      <w:t>)</w:t>
    </w:r>
    <w:r>
      <w:rPr>
        <w:rStyle w:val="PageNumber"/>
        <w:rFonts w:asciiTheme="minorHAnsi" w:hAnsiTheme="minorHAnsi"/>
        <w:b/>
        <w:i/>
        <w:sz w:val="20"/>
        <w:szCs w:val="20"/>
      </w:rPr>
      <w:tab/>
    </w:r>
    <w:r w:rsidRPr="002744C0">
      <w:rPr>
        <w:rStyle w:val="PageNumber"/>
        <w:rFonts w:asciiTheme="minorHAnsi" w:hAnsiTheme="minorHAnsi"/>
        <w:b/>
        <w:i/>
        <w:sz w:val="20"/>
        <w:szCs w:val="20"/>
      </w:rPr>
      <w:fldChar w:fldCharType="begin"/>
    </w:r>
    <w:r w:rsidRPr="002744C0">
      <w:rPr>
        <w:rStyle w:val="PageNumber"/>
        <w:rFonts w:asciiTheme="minorHAnsi" w:hAnsiTheme="minorHAnsi"/>
        <w:b/>
        <w:i/>
        <w:sz w:val="20"/>
        <w:szCs w:val="20"/>
      </w:rPr>
      <w:instrText xml:space="preserve"> PAGE </w:instrText>
    </w:r>
    <w:r w:rsidRPr="002744C0">
      <w:rPr>
        <w:rStyle w:val="PageNumber"/>
        <w:rFonts w:asciiTheme="minorHAnsi" w:hAnsiTheme="minorHAnsi"/>
        <w:b/>
        <w:i/>
        <w:sz w:val="20"/>
        <w:szCs w:val="20"/>
      </w:rPr>
      <w:fldChar w:fldCharType="separate"/>
    </w:r>
    <w:r w:rsidR="00100D16">
      <w:rPr>
        <w:rStyle w:val="PageNumber"/>
        <w:rFonts w:asciiTheme="minorHAnsi" w:hAnsiTheme="minorHAnsi"/>
        <w:b/>
        <w:i/>
        <w:noProof/>
        <w:sz w:val="20"/>
        <w:szCs w:val="20"/>
      </w:rPr>
      <w:t>6</w:t>
    </w:r>
    <w:r w:rsidRPr="002744C0">
      <w:rPr>
        <w:rStyle w:val="PageNumber"/>
        <w:rFonts w:asciiTheme="minorHAnsi" w:hAnsiTheme="minorHAnsi"/>
        <w:b/>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49558" w14:textId="77777777" w:rsidR="00F659A2" w:rsidRDefault="00F659A2" w:rsidP="002744C0">
      <w:r>
        <w:separator/>
      </w:r>
    </w:p>
  </w:footnote>
  <w:footnote w:type="continuationSeparator" w:id="0">
    <w:p w14:paraId="4D346051" w14:textId="77777777" w:rsidR="00F659A2" w:rsidRDefault="00F659A2" w:rsidP="002744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093C"/>
    <w:multiLevelType w:val="hybridMultilevel"/>
    <w:tmpl w:val="F05C8C1A"/>
    <w:lvl w:ilvl="0" w:tplc="F52069A4">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0C4926"/>
    <w:multiLevelType w:val="hybridMultilevel"/>
    <w:tmpl w:val="14D6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6798F"/>
    <w:multiLevelType w:val="hybridMultilevel"/>
    <w:tmpl w:val="C0CE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1330C3"/>
    <w:multiLevelType w:val="hybridMultilevel"/>
    <w:tmpl w:val="EBD01CE0"/>
    <w:lvl w:ilvl="0" w:tplc="0CE4CFA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84824"/>
    <w:multiLevelType w:val="hybridMultilevel"/>
    <w:tmpl w:val="A6967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8292C"/>
    <w:multiLevelType w:val="hybridMultilevel"/>
    <w:tmpl w:val="09C8A680"/>
    <w:lvl w:ilvl="0" w:tplc="17E4C51C">
      <w:start w:val="1"/>
      <w:numFmt w:val="decimal"/>
      <w:pStyle w:val="Heading1"/>
      <w:lvlText w:val="%1."/>
      <w:lvlJc w:val="left"/>
      <w:pPr>
        <w:tabs>
          <w:tab w:val="num" w:pos="450"/>
        </w:tabs>
        <w:ind w:left="45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5671607"/>
    <w:multiLevelType w:val="hybridMultilevel"/>
    <w:tmpl w:val="A64065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E6109D"/>
    <w:multiLevelType w:val="hybridMultilevel"/>
    <w:tmpl w:val="331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DF3B6C"/>
    <w:multiLevelType w:val="hybridMultilevel"/>
    <w:tmpl w:val="B24A4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F02D0"/>
    <w:multiLevelType w:val="hybridMultilevel"/>
    <w:tmpl w:val="63984EA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A517768"/>
    <w:multiLevelType w:val="hybridMultilevel"/>
    <w:tmpl w:val="3C42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41CFF"/>
    <w:multiLevelType w:val="hybridMultilevel"/>
    <w:tmpl w:val="77D6F234"/>
    <w:lvl w:ilvl="0" w:tplc="76AC3B20">
      <w:start w:val="1"/>
      <w:numFmt w:val="lowerLetter"/>
      <w:lvlText w:val="%1)"/>
      <w:lvlJc w:val="left"/>
      <w:pPr>
        <w:ind w:left="1440" w:hanging="360"/>
      </w:pPr>
      <w:rPr>
        <w:rFonts w:ascii="Calibri" w:eastAsia="Times New Roman" w:hAnsi="Calibr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BD7598"/>
    <w:multiLevelType w:val="hybridMultilevel"/>
    <w:tmpl w:val="428C4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0F0C92"/>
    <w:multiLevelType w:val="hybridMultilevel"/>
    <w:tmpl w:val="BEC0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7E1BAD"/>
    <w:multiLevelType w:val="hybridMultilevel"/>
    <w:tmpl w:val="816C7A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F36E3"/>
    <w:multiLevelType w:val="hybridMultilevel"/>
    <w:tmpl w:val="AF18B708"/>
    <w:lvl w:ilvl="0" w:tplc="C96CD2C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2B3523"/>
    <w:multiLevelType w:val="hybridMultilevel"/>
    <w:tmpl w:val="8B42C7B0"/>
    <w:lvl w:ilvl="0" w:tplc="B52849C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015AA4"/>
    <w:multiLevelType w:val="hybridMultilevel"/>
    <w:tmpl w:val="0EC2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F0011E"/>
    <w:multiLevelType w:val="hybridMultilevel"/>
    <w:tmpl w:val="17C8D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B295F43"/>
    <w:multiLevelType w:val="hybridMultilevel"/>
    <w:tmpl w:val="C13C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DF0CE0"/>
    <w:multiLevelType w:val="hybridMultilevel"/>
    <w:tmpl w:val="530C6548"/>
    <w:lvl w:ilvl="0" w:tplc="F52069A4">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516095"/>
    <w:multiLevelType w:val="hybridMultilevel"/>
    <w:tmpl w:val="112E7CE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72876880"/>
    <w:multiLevelType w:val="hybridMultilevel"/>
    <w:tmpl w:val="6F82684C"/>
    <w:lvl w:ilvl="0" w:tplc="506221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1D2609"/>
    <w:multiLevelType w:val="hybridMultilevel"/>
    <w:tmpl w:val="DB34DD34"/>
    <w:lvl w:ilvl="0" w:tplc="F52069A4">
      <w:start w:val="1"/>
      <w:numFmt w:val="bullet"/>
      <w:lvlText w:val="-"/>
      <w:lvlJc w:val="left"/>
      <w:pPr>
        <w:ind w:left="1440" w:hanging="360"/>
      </w:pPr>
      <w:rPr>
        <w:rFonts w:ascii="Courier New" w:hAnsi="Courier New"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2"/>
  </w:num>
  <w:num w:numId="3">
    <w:abstractNumId w:val="4"/>
  </w:num>
  <w:num w:numId="4">
    <w:abstractNumId w:val="15"/>
  </w:num>
  <w:num w:numId="5">
    <w:abstractNumId w:val="2"/>
  </w:num>
  <w:num w:numId="6">
    <w:abstractNumId w:val="22"/>
  </w:num>
  <w:num w:numId="7">
    <w:abstractNumId w:val="0"/>
  </w:num>
  <w:num w:numId="8">
    <w:abstractNumId w:val="9"/>
  </w:num>
  <w:num w:numId="9">
    <w:abstractNumId w:val="11"/>
  </w:num>
  <w:num w:numId="10">
    <w:abstractNumId w:val="23"/>
  </w:num>
  <w:num w:numId="11">
    <w:abstractNumId w:val="20"/>
  </w:num>
  <w:num w:numId="12">
    <w:abstractNumId w:val="19"/>
  </w:num>
  <w:num w:numId="13">
    <w:abstractNumId w:val="10"/>
  </w:num>
  <w:num w:numId="14">
    <w:abstractNumId w:val="16"/>
  </w:num>
  <w:num w:numId="15">
    <w:abstractNumId w:val="8"/>
  </w:num>
  <w:num w:numId="16">
    <w:abstractNumId w:val="6"/>
  </w:num>
  <w:num w:numId="17">
    <w:abstractNumId w:val="14"/>
  </w:num>
  <w:num w:numId="18">
    <w:abstractNumId w:val="7"/>
  </w:num>
  <w:num w:numId="19">
    <w:abstractNumId w:val="17"/>
  </w:num>
  <w:num w:numId="20">
    <w:abstractNumId w:val="13"/>
  </w:num>
  <w:num w:numId="21">
    <w:abstractNumId w:val="1"/>
  </w:num>
  <w:num w:numId="22">
    <w:abstractNumId w:val="18"/>
  </w:num>
  <w:num w:numId="23">
    <w:abstractNumId w:val="21"/>
  </w:num>
  <w:num w:numId="24">
    <w:abstractNumId w:val="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
    <w15:presenceInfo w15:providerId="None" w15:userId="Pe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10"/>
    <w:rsid w:val="00016D0A"/>
    <w:rsid w:val="0001794F"/>
    <w:rsid w:val="0002567C"/>
    <w:rsid w:val="00037E79"/>
    <w:rsid w:val="00041C71"/>
    <w:rsid w:val="000472DE"/>
    <w:rsid w:val="000516DF"/>
    <w:rsid w:val="000550D4"/>
    <w:rsid w:val="00064F8B"/>
    <w:rsid w:val="00066D44"/>
    <w:rsid w:val="00085658"/>
    <w:rsid w:val="000A5709"/>
    <w:rsid w:val="000B1E2E"/>
    <w:rsid w:val="000C377A"/>
    <w:rsid w:val="00100D16"/>
    <w:rsid w:val="00104120"/>
    <w:rsid w:val="00107495"/>
    <w:rsid w:val="001214FC"/>
    <w:rsid w:val="00127E8D"/>
    <w:rsid w:val="00142AEC"/>
    <w:rsid w:val="0014405B"/>
    <w:rsid w:val="00167842"/>
    <w:rsid w:val="001750D9"/>
    <w:rsid w:val="001A60A4"/>
    <w:rsid w:val="001B16C5"/>
    <w:rsid w:val="001B32E5"/>
    <w:rsid w:val="001B4D53"/>
    <w:rsid w:val="001D3A5D"/>
    <w:rsid w:val="001E3191"/>
    <w:rsid w:val="001E4679"/>
    <w:rsid w:val="00202677"/>
    <w:rsid w:val="002108BA"/>
    <w:rsid w:val="00216A8B"/>
    <w:rsid w:val="00217C81"/>
    <w:rsid w:val="00254B47"/>
    <w:rsid w:val="00256FB6"/>
    <w:rsid w:val="0026143C"/>
    <w:rsid w:val="002744C0"/>
    <w:rsid w:val="00284B10"/>
    <w:rsid w:val="00291638"/>
    <w:rsid w:val="00294179"/>
    <w:rsid w:val="002A5835"/>
    <w:rsid w:val="002B1E63"/>
    <w:rsid w:val="002B22BD"/>
    <w:rsid w:val="002B7A32"/>
    <w:rsid w:val="002C4C88"/>
    <w:rsid w:val="002C5095"/>
    <w:rsid w:val="002D431D"/>
    <w:rsid w:val="002D53F4"/>
    <w:rsid w:val="002E24F7"/>
    <w:rsid w:val="002E4D48"/>
    <w:rsid w:val="002F5730"/>
    <w:rsid w:val="003021B1"/>
    <w:rsid w:val="0030234D"/>
    <w:rsid w:val="00304E9B"/>
    <w:rsid w:val="003168C2"/>
    <w:rsid w:val="00323524"/>
    <w:rsid w:val="0034098C"/>
    <w:rsid w:val="00360C3D"/>
    <w:rsid w:val="0036331D"/>
    <w:rsid w:val="00377482"/>
    <w:rsid w:val="00380EFB"/>
    <w:rsid w:val="003973AB"/>
    <w:rsid w:val="003A5A18"/>
    <w:rsid w:val="003B0030"/>
    <w:rsid w:val="003C30E4"/>
    <w:rsid w:val="003D33A0"/>
    <w:rsid w:val="003D4894"/>
    <w:rsid w:val="003D4B39"/>
    <w:rsid w:val="003F715B"/>
    <w:rsid w:val="00404EC0"/>
    <w:rsid w:val="0043744F"/>
    <w:rsid w:val="00441CCC"/>
    <w:rsid w:val="00441F09"/>
    <w:rsid w:val="00464FA1"/>
    <w:rsid w:val="00464FB8"/>
    <w:rsid w:val="0046676E"/>
    <w:rsid w:val="00480BF3"/>
    <w:rsid w:val="004A6680"/>
    <w:rsid w:val="004B5B72"/>
    <w:rsid w:val="004C35CD"/>
    <w:rsid w:val="004D201C"/>
    <w:rsid w:val="004D40F2"/>
    <w:rsid w:val="004F31E4"/>
    <w:rsid w:val="004F44C0"/>
    <w:rsid w:val="00522143"/>
    <w:rsid w:val="00526364"/>
    <w:rsid w:val="00541486"/>
    <w:rsid w:val="0055532E"/>
    <w:rsid w:val="00563CBA"/>
    <w:rsid w:val="005927C5"/>
    <w:rsid w:val="005B19E6"/>
    <w:rsid w:val="005D0A13"/>
    <w:rsid w:val="005E2198"/>
    <w:rsid w:val="005E3715"/>
    <w:rsid w:val="005E6801"/>
    <w:rsid w:val="005F71B6"/>
    <w:rsid w:val="00601112"/>
    <w:rsid w:val="00613DB4"/>
    <w:rsid w:val="00617CFF"/>
    <w:rsid w:val="0063146E"/>
    <w:rsid w:val="00650022"/>
    <w:rsid w:val="006536DA"/>
    <w:rsid w:val="00660EE0"/>
    <w:rsid w:val="0067649F"/>
    <w:rsid w:val="0068390A"/>
    <w:rsid w:val="006841F0"/>
    <w:rsid w:val="006859F1"/>
    <w:rsid w:val="006A2831"/>
    <w:rsid w:val="006C6108"/>
    <w:rsid w:val="006D0A35"/>
    <w:rsid w:val="006E070B"/>
    <w:rsid w:val="006E080C"/>
    <w:rsid w:val="006E181E"/>
    <w:rsid w:val="00715FA6"/>
    <w:rsid w:val="00721EDD"/>
    <w:rsid w:val="0072583B"/>
    <w:rsid w:val="00733202"/>
    <w:rsid w:val="00733F15"/>
    <w:rsid w:val="00746DA2"/>
    <w:rsid w:val="0075607C"/>
    <w:rsid w:val="0076624E"/>
    <w:rsid w:val="00772DA2"/>
    <w:rsid w:val="00794561"/>
    <w:rsid w:val="00797ECF"/>
    <w:rsid w:val="007A7244"/>
    <w:rsid w:val="007B015A"/>
    <w:rsid w:val="007D59DC"/>
    <w:rsid w:val="007F0DD3"/>
    <w:rsid w:val="007F16CA"/>
    <w:rsid w:val="00811EF9"/>
    <w:rsid w:val="00813AB0"/>
    <w:rsid w:val="00814E12"/>
    <w:rsid w:val="0081533E"/>
    <w:rsid w:val="00816793"/>
    <w:rsid w:val="00821538"/>
    <w:rsid w:val="00826A88"/>
    <w:rsid w:val="00827563"/>
    <w:rsid w:val="00834CC5"/>
    <w:rsid w:val="0085424B"/>
    <w:rsid w:val="0085688F"/>
    <w:rsid w:val="00860B33"/>
    <w:rsid w:val="00876198"/>
    <w:rsid w:val="00882780"/>
    <w:rsid w:val="00894D0E"/>
    <w:rsid w:val="008B14E3"/>
    <w:rsid w:val="008B5E43"/>
    <w:rsid w:val="008C5639"/>
    <w:rsid w:val="008D027D"/>
    <w:rsid w:val="00901CBE"/>
    <w:rsid w:val="0090212D"/>
    <w:rsid w:val="00902823"/>
    <w:rsid w:val="0091292A"/>
    <w:rsid w:val="00915BD1"/>
    <w:rsid w:val="009224CC"/>
    <w:rsid w:val="009253A7"/>
    <w:rsid w:val="00945D7D"/>
    <w:rsid w:val="00953B57"/>
    <w:rsid w:val="0099370D"/>
    <w:rsid w:val="009A63D4"/>
    <w:rsid w:val="009B5F4F"/>
    <w:rsid w:val="009B6864"/>
    <w:rsid w:val="009B6D86"/>
    <w:rsid w:val="009C2946"/>
    <w:rsid w:val="00A15325"/>
    <w:rsid w:val="00A31F6E"/>
    <w:rsid w:val="00A34A2D"/>
    <w:rsid w:val="00A41886"/>
    <w:rsid w:val="00A52C4C"/>
    <w:rsid w:val="00A6025B"/>
    <w:rsid w:val="00A63671"/>
    <w:rsid w:val="00A63910"/>
    <w:rsid w:val="00A73E13"/>
    <w:rsid w:val="00A81FC1"/>
    <w:rsid w:val="00A8328C"/>
    <w:rsid w:val="00AA4B99"/>
    <w:rsid w:val="00AA6CBB"/>
    <w:rsid w:val="00AB5B54"/>
    <w:rsid w:val="00AF40AF"/>
    <w:rsid w:val="00AF7BA8"/>
    <w:rsid w:val="00B25BB5"/>
    <w:rsid w:val="00B26FBC"/>
    <w:rsid w:val="00B319BA"/>
    <w:rsid w:val="00B44C37"/>
    <w:rsid w:val="00B45A75"/>
    <w:rsid w:val="00B541B9"/>
    <w:rsid w:val="00B57B37"/>
    <w:rsid w:val="00B74ADB"/>
    <w:rsid w:val="00B90A5E"/>
    <w:rsid w:val="00B935DF"/>
    <w:rsid w:val="00BA4C73"/>
    <w:rsid w:val="00BA5D86"/>
    <w:rsid w:val="00BD03A4"/>
    <w:rsid w:val="00BD607C"/>
    <w:rsid w:val="00BE051D"/>
    <w:rsid w:val="00BE341B"/>
    <w:rsid w:val="00BF4C13"/>
    <w:rsid w:val="00BF62D3"/>
    <w:rsid w:val="00C03336"/>
    <w:rsid w:val="00C35832"/>
    <w:rsid w:val="00C437B9"/>
    <w:rsid w:val="00C4486E"/>
    <w:rsid w:val="00C554D5"/>
    <w:rsid w:val="00C5632A"/>
    <w:rsid w:val="00C72A99"/>
    <w:rsid w:val="00C952BC"/>
    <w:rsid w:val="00C952ED"/>
    <w:rsid w:val="00CA04F7"/>
    <w:rsid w:val="00CA45F1"/>
    <w:rsid w:val="00CA478B"/>
    <w:rsid w:val="00CA6A72"/>
    <w:rsid w:val="00CB3698"/>
    <w:rsid w:val="00CB43E7"/>
    <w:rsid w:val="00CC4318"/>
    <w:rsid w:val="00CC6BBB"/>
    <w:rsid w:val="00CD2448"/>
    <w:rsid w:val="00CE2176"/>
    <w:rsid w:val="00CE5C59"/>
    <w:rsid w:val="00CE6E79"/>
    <w:rsid w:val="00CE7AAA"/>
    <w:rsid w:val="00CE7D45"/>
    <w:rsid w:val="00D40D5E"/>
    <w:rsid w:val="00D41FD3"/>
    <w:rsid w:val="00D453E9"/>
    <w:rsid w:val="00D46E19"/>
    <w:rsid w:val="00D57E09"/>
    <w:rsid w:val="00D66C91"/>
    <w:rsid w:val="00D73D31"/>
    <w:rsid w:val="00D81ACA"/>
    <w:rsid w:val="00D97804"/>
    <w:rsid w:val="00DA6FA3"/>
    <w:rsid w:val="00DB27E1"/>
    <w:rsid w:val="00DB27FA"/>
    <w:rsid w:val="00DB38C5"/>
    <w:rsid w:val="00DB621B"/>
    <w:rsid w:val="00DD7747"/>
    <w:rsid w:val="00DE7EB8"/>
    <w:rsid w:val="00DF069F"/>
    <w:rsid w:val="00E0495A"/>
    <w:rsid w:val="00E0561A"/>
    <w:rsid w:val="00E10BBB"/>
    <w:rsid w:val="00E27C33"/>
    <w:rsid w:val="00E31F81"/>
    <w:rsid w:val="00E37112"/>
    <w:rsid w:val="00E40B88"/>
    <w:rsid w:val="00E528A0"/>
    <w:rsid w:val="00E52C85"/>
    <w:rsid w:val="00E66ED5"/>
    <w:rsid w:val="00E713C2"/>
    <w:rsid w:val="00E72A11"/>
    <w:rsid w:val="00E748E4"/>
    <w:rsid w:val="00E80C7E"/>
    <w:rsid w:val="00E845EF"/>
    <w:rsid w:val="00E84720"/>
    <w:rsid w:val="00E95A54"/>
    <w:rsid w:val="00EA41DB"/>
    <w:rsid w:val="00EA609D"/>
    <w:rsid w:val="00EB0CC8"/>
    <w:rsid w:val="00EB3DF6"/>
    <w:rsid w:val="00EC4DFC"/>
    <w:rsid w:val="00EE1EE8"/>
    <w:rsid w:val="00EF26B6"/>
    <w:rsid w:val="00EF3BDC"/>
    <w:rsid w:val="00EF7220"/>
    <w:rsid w:val="00F03A55"/>
    <w:rsid w:val="00F10DB0"/>
    <w:rsid w:val="00F274F7"/>
    <w:rsid w:val="00F47CE7"/>
    <w:rsid w:val="00F5110C"/>
    <w:rsid w:val="00F53A6A"/>
    <w:rsid w:val="00F55097"/>
    <w:rsid w:val="00F6100C"/>
    <w:rsid w:val="00F659A2"/>
    <w:rsid w:val="00F7210F"/>
    <w:rsid w:val="00F72718"/>
    <w:rsid w:val="00F738DB"/>
    <w:rsid w:val="00F831E2"/>
    <w:rsid w:val="00F915E9"/>
    <w:rsid w:val="00F93266"/>
    <w:rsid w:val="00F97200"/>
    <w:rsid w:val="00FA5988"/>
    <w:rsid w:val="00FB0725"/>
    <w:rsid w:val="00FB4208"/>
    <w:rsid w:val="00FC2C9A"/>
    <w:rsid w:val="00FE033C"/>
    <w:rsid w:val="00FE1A97"/>
    <w:rsid w:val="00FE3679"/>
    <w:rsid w:val="00FF5C7F"/>
    <w:rsid w:val="00FF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99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61A"/>
    <w:rPr>
      <w:sz w:val="24"/>
      <w:szCs w:val="24"/>
    </w:rPr>
  </w:style>
  <w:style w:type="paragraph" w:styleId="Heading1">
    <w:name w:val="heading 1"/>
    <w:basedOn w:val="ListParagraph"/>
    <w:next w:val="Normal"/>
    <w:link w:val="Heading1Char"/>
    <w:qFormat/>
    <w:rsid w:val="009A63D4"/>
    <w:pPr>
      <w:numPr>
        <w:numId w:val="1"/>
      </w:numPr>
      <w:spacing w:before="200" w:after="200"/>
      <w:contextualSpacing w:val="0"/>
      <w:outlineLvl w:val="0"/>
    </w:pPr>
    <w:rPr>
      <w:rFonts w:asciiTheme="minorHAnsi" w:hAnsiTheme="minorHAnsi"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uiPriority w:val="59"/>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uiPriority w:val="34"/>
    <w:qFormat/>
    <w:rsid w:val="00794561"/>
    <w:pPr>
      <w:ind w:left="720"/>
      <w:contextualSpacing/>
    </w:pPr>
  </w:style>
  <w:style w:type="character" w:customStyle="1" w:styleId="Heading1Char">
    <w:name w:val="Heading 1 Char"/>
    <w:basedOn w:val="DefaultParagraphFont"/>
    <w:link w:val="Heading1"/>
    <w:rsid w:val="009A63D4"/>
    <w:rPr>
      <w:rFonts w:asciiTheme="minorHAnsi" w:hAnsiTheme="minorHAnsi" w:cs="Arial"/>
      <w:b/>
      <w:color w:val="000000"/>
      <w:sz w:val="22"/>
      <w:szCs w:val="22"/>
    </w:rPr>
  </w:style>
  <w:style w:type="paragraph" w:styleId="Header">
    <w:name w:val="header"/>
    <w:basedOn w:val="Normal"/>
    <w:link w:val="HeaderChar"/>
    <w:rsid w:val="002744C0"/>
    <w:pPr>
      <w:tabs>
        <w:tab w:val="center" w:pos="4320"/>
        <w:tab w:val="right" w:pos="8640"/>
      </w:tabs>
    </w:pPr>
  </w:style>
  <w:style w:type="character" w:customStyle="1" w:styleId="HeaderChar">
    <w:name w:val="Header Char"/>
    <w:basedOn w:val="DefaultParagraphFont"/>
    <w:link w:val="Header"/>
    <w:rsid w:val="002744C0"/>
    <w:rPr>
      <w:sz w:val="24"/>
      <w:szCs w:val="24"/>
    </w:rPr>
  </w:style>
  <w:style w:type="paragraph" w:styleId="Footer">
    <w:name w:val="footer"/>
    <w:basedOn w:val="Normal"/>
    <w:link w:val="FooterChar"/>
    <w:rsid w:val="002744C0"/>
    <w:pPr>
      <w:tabs>
        <w:tab w:val="center" w:pos="4320"/>
        <w:tab w:val="right" w:pos="8640"/>
      </w:tabs>
    </w:pPr>
  </w:style>
  <w:style w:type="character" w:customStyle="1" w:styleId="FooterChar">
    <w:name w:val="Footer Char"/>
    <w:basedOn w:val="DefaultParagraphFont"/>
    <w:link w:val="Footer"/>
    <w:rsid w:val="002744C0"/>
    <w:rPr>
      <w:sz w:val="24"/>
      <w:szCs w:val="24"/>
    </w:rPr>
  </w:style>
  <w:style w:type="character" w:styleId="PageNumber">
    <w:name w:val="page number"/>
    <w:basedOn w:val="DefaultParagraphFont"/>
    <w:rsid w:val="002744C0"/>
  </w:style>
  <w:style w:type="paragraph" w:styleId="FootnoteText">
    <w:name w:val="footnote text"/>
    <w:basedOn w:val="Normal"/>
    <w:link w:val="FootnoteTextChar"/>
    <w:rsid w:val="004D40F2"/>
  </w:style>
  <w:style w:type="character" w:customStyle="1" w:styleId="FootnoteTextChar">
    <w:name w:val="Footnote Text Char"/>
    <w:basedOn w:val="DefaultParagraphFont"/>
    <w:link w:val="FootnoteText"/>
    <w:rsid w:val="004D40F2"/>
    <w:rPr>
      <w:sz w:val="24"/>
      <w:szCs w:val="24"/>
    </w:rPr>
  </w:style>
  <w:style w:type="character" w:styleId="FootnoteReference">
    <w:name w:val="footnote reference"/>
    <w:basedOn w:val="DefaultParagraphFont"/>
    <w:rsid w:val="004D40F2"/>
    <w:rPr>
      <w:vertAlign w:val="superscript"/>
    </w:rPr>
  </w:style>
  <w:style w:type="character" w:styleId="CommentReference">
    <w:name w:val="annotation reference"/>
    <w:basedOn w:val="DefaultParagraphFont"/>
    <w:rsid w:val="003168C2"/>
    <w:rPr>
      <w:sz w:val="16"/>
      <w:szCs w:val="16"/>
    </w:rPr>
  </w:style>
  <w:style w:type="paragraph" w:styleId="CommentText">
    <w:name w:val="annotation text"/>
    <w:basedOn w:val="Normal"/>
    <w:link w:val="CommentTextChar"/>
    <w:rsid w:val="003168C2"/>
    <w:rPr>
      <w:sz w:val="20"/>
      <w:szCs w:val="20"/>
    </w:rPr>
  </w:style>
  <w:style w:type="character" w:customStyle="1" w:styleId="CommentTextChar">
    <w:name w:val="Comment Text Char"/>
    <w:basedOn w:val="DefaultParagraphFont"/>
    <w:link w:val="CommentText"/>
    <w:rsid w:val="003168C2"/>
  </w:style>
  <w:style w:type="paragraph" w:styleId="CommentSubject">
    <w:name w:val="annotation subject"/>
    <w:basedOn w:val="CommentText"/>
    <w:next w:val="CommentText"/>
    <w:link w:val="CommentSubjectChar"/>
    <w:rsid w:val="003168C2"/>
    <w:rPr>
      <w:b/>
      <w:bCs/>
    </w:rPr>
  </w:style>
  <w:style w:type="character" w:customStyle="1" w:styleId="CommentSubjectChar">
    <w:name w:val="Comment Subject Char"/>
    <w:basedOn w:val="CommentTextChar"/>
    <w:link w:val="CommentSubject"/>
    <w:rsid w:val="003168C2"/>
    <w:rPr>
      <w:b/>
      <w:bCs/>
    </w:rPr>
  </w:style>
  <w:style w:type="paragraph" w:styleId="Revision">
    <w:name w:val="Revision"/>
    <w:hidden/>
    <w:uiPriority w:val="99"/>
    <w:semiHidden/>
    <w:rsid w:val="00C72A9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61A"/>
    <w:rPr>
      <w:sz w:val="24"/>
      <w:szCs w:val="24"/>
    </w:rPr>
  </w:style>
  <w:style w:type="paragraph" w:styleId="Heading1">
    <w:name w:val="heading 1"/>
    <w:basedOn w:val="ListParagraph"/>
    <w:next w:val="Normal"/>
    <w:link w:val="Heading1Char"/>
    <w:qFormat/>
    <w:rsid w:val="009A63D4"/>
    <w:pPr>
      <w:numPr>
        <w:numId w:val="1"/>
      </w:numPr>
      <w:spacing w:before="200" w:after="200"/>
      <w:contextualSpacing w:val="0"/>
      <w:outlineLvl w:val="0"/>
    </w:pPr>
    <w:rPr>
      <w:rFonts w:asciiTheme="minorHAnsi" w:hAnsiTheme="minorHAnsi"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uiPriority w:val="59"/>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uiPriority w:val="34"/>
    <w:qFormat/>
    <w:rsid w:val="00794561"/>
    <w:pPr>
      <w:ind w:left="720"/>
      <w:contextualSpacing/>
    </w:pPr>
  </w:style>
  <w:style w:type="character" w:customStyle="1" w:styleId="Heading1Char">
    <w:name w:val="Heading 1 Char"/>
    <w:basedOn w:val="DefaultParagraphFont"/>
    <w:link w:val="Heading1"/>
    <w:rsid w:val="009A63D4"/>
    <w:rPr>
      <w:rFonts w:asciiTheme="minorHAnsi" w:hAnsiTheme="minorHAnsi" w:cs="Arial"/>
      <w:b/>
      <w:color w:val="000000"/>
      <w:sz w:val="22"/>
      <w:szCs w:val="22"/>
    </w:rPr>
  </w:style>
  <w:style w:type="paragraph" w:styleId="Header">
    <w:name w:val="header"/>
    <w:basedOn w:val="Normal"/>
    <w:link w:val="HeaderChar"/>
    <w:rsid w:val="002744C0"/>
    <w:pPr>
      <w:tabs>
        <w:tab w:val="center" w:pos="4320"/>
        <w:tab w:val="right" w:pos="8640"/>
      </w:tabs>
    </w:pPr>
  </w:style>
  <w:style w:type="character" w:customStyle="1" w:styleId="HeaderChar">
    <w:name w:val="Header Char"/>
    <w:basedOn w:val="DefaultParagraphFont"/>
    <w:link w:val="Header"/>
    <w:rsid w:val="002744C0"/>
    <w:rPr>
      <w:sz w:val="24"/>
      <w:szCs w:val="24"/>
    </w:rPr>
  </w:style>
  <w:style w:type="paragraph" w:styleId="Footer">
    <w:name w:val="footer"/>
    <w:basedOn w:val="Normal"/>
    <w:link w:val="FooterChar"/>
    <w:rsid w:val="002744C0"/>
    <w:pPr>
      <w:tabs>
        <w:tab w:val="center" w:pos="4320"/>
        <w:tab w:val="right" w:pos="8640"/>
      </w:tabs>
    </w:pPr>
  </w:style>
  <w:style w:type="character" w:customStyle="1" w:styleId="FooterChar">
    <w:name w:val="Footer Char"/>
    <w:basedOn w:val="DefaultParagraphFont"/>
    <w:link w:val="Footer"/>
    <w:rsid w:val="002744C0"/>
    <w:rPr>
      <w:sz w:val="24"/>
      <w:szCs w:val="24"/>
    </w:rPr>
  </w:style>
  <w:style w:type="character" w:styleId="PageNumber">
    <w:name w:val="page number"/>
    <w:basedOn w:val="DefaultParagraphFont"/>
    <w:rsid w:val="002744C0"/>
  </w:style>
  <w:style w:type="paragraph" w:styleId="FootnoteText">
    <w:name w:val="footnote text"/>
    <w:basedOn w:val="Normal"/>
    <w:link w:val="FootnoteTextChar"/>
    <w:rsid w:val="004D40F2"/>
  </w:style>
  <w:style w:type="character" w:customStyle="1" w:styleId="FootnoteTextChar">
    <w:name w:val="Footnote Text Char"/>
    <w:basedOn w:val="DefaultParagraphFont"/>
    <w:link w:val="FootnoteText"/>
    <w:rsid w:val="004D40F2"/>
    <w:rPr>
      <w:sz w:val="24"/>
      <w:szCs w:val="24"/>
    </w:rPr>
  </w:style>
  <w:style w:type="character" w:styleId="FootnoteReference">
    <w:name w:val="footnote reference"/>
    <w:basedOn w:val="DefaultParagraphFont"/>
    <w:rsid w:val="004D40F2"/>
    <w:rPr>
      <w:vertAlign w:val="superscript"/>
    </w:rPr>
  </w:style>
  <w:style w:type="character" w:styleId="CommentReference">
    <w:name w:val="annotation reference"/>
    <w:basedOn w:val="DefaultParagraphFont"/>
    <w:rsid w:val="003168C2"/>
    <w:rPr>
      <w:sz w:val="16"/>
      <w:szCs w:val="16"/>
    </w:rPr>
  </w:style>
  <w:style w:type="paragraph" w:styleId="CommentText">
    <w:name w:val="annotation text"/>
    <w:basedOn w:val="Normal"/>
    <w:link w:val="CommentTextChar"/>
    <w:rsid w:val="003168C2"/>
    <w:rPr>
      <w:sz w:val="20"/>
      <w:szCs w:val="20"/>
    </w:rPr>
  </w:style>
  <w:style w:type="character" w:customStyle="1" w:styleId="CommentTextChar">
    <w:name w:val="Comment Text Char"/>
    <w:basedOn w:val="DefaultParagraphFont"/>
    <w:link w:val="CommentText"/>
    <w:rsid w:val="003168C2"/>
  </w:style>
  <w:style w:type="paragraph" w:styleId="CommentSubject">
    <w:name w:val="annotation subject"/>
    <w:basedOn w:val="CommentText"/>
    <w:next w:val="CommentText"/>
    <w:link w:val="CommentSubjectChar"/>
    <w:rsid w:val="003168C2"/>
    <w:rPr>
      <w:b/>
      <w:bCs/>
    </w:rPr>
  </w:style>
  <w:style w:type="character" w:customStyle="1" w:styleId="CommentSubjectChar">
    <w:name w:val="Comment Subject Char"/>
    <w:basedOn w:val="CommentTextChar"/>
    <w:link w:val="CommentSubject"/>
    <w:rsid w:val="003168C2"/>
    <w:rPr>
      <w:b/>
      <w:bCs/>
    </w:rPr>
  </w:style>
  <w:style w:type="paragraph" w:styleId="Revision">
    <w:name w:val="Revision"/>
    <w:hidden/>
    <w:uiPriority w:val="99"/>
    <w:semiHidden/>
    <w:rsid w:val="00C72A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58314">
      <w:bodyDiv w:val="1"/>
      <w:marLeft w:val="0"/>
      <w:marRight w:val="0"/>
      <w:marTop w:val="0"/>
      <w:marBottom w:val="0"/>
      <w:divBdr>
        <w:top w:val="none" w:sz="0" w:space="0" w:color="auto"/>
        <w:left w:val="none" w:sz="0" w:space="0" w:color="auto"/>
        <w:bottom w:val="none" w:sz="0" w:space="0" w:color="auto"/>
        <w:right w:val="none" w:sz="0" w:space="0" w:color="auto"/>
      </w:divBdr>
      <w:divsChild>
        <w:div w:id="475531278">
          <w:marLeft w:val="0"/>
          <w:marRight w:val="0"/>
          <w:marTop w:val="0"/>
          <w:marBottom w:val="0"/>
          <w:divBdr>
            <w:top w:val="none" w:sz="0" w:space="0" w:color="auto"/>
            <w:left w:val="none" w:sz="0" w:space="0" w:color="auto"/>
            <w:bottom w:val="none" w:sz="0" w:space="0" w:color="auto"/>
            <w:right w:val="none" w:sz="0" w:space="0" w:color="auto"/>
          </w:divBdr>
        </w:div>
      </w:divsChild>
    </w:div>
    <w:div w:id="583027854">
      <w:bodyDiv w:val="1"/>
      <w:marLeft w:val="0"/>
      <w:marRight w:val="0"/>
      <w:marTop w:val="0"/>
      <w:marBottom w:val="0"/>
      <w:divBdr>
        <w:top w:val="none" w:sz="0" w:space="0" w:color="auto"/>
        <w:left w:val="none" w:sz="0" w:space="0" w:color="auto"/>
        <w:bottom w:val="none" w:sz="0" w:space="0" w:color="auto"/>
        <w:right w:val="none" w:sz="0" w:space="0" w:color="auto"/>
      </w:divBdr>
      <w:divsChild>
        <w:div w:id="286157637">
          <w:marLeft w:val="0"/>
          <w:marRight w:val="0"/>
          <w:marTop w:val="0"/>
          <w:marBottom w:val="0"/>
          <w:divBdr>
            <w:top w:val="none" w:sz="0" w:space="0" w:color="auto"/>
            <w:left w:val="none" w:sz="0" w:space="0" w:color="auto"/>
            <w:bottom w:val="none" w:sz="0" w:space="0" w:color="auto"/>
            <w:right w:val="none" w:sz="0" w:space="0" w:color="auto"/>
          </w:divBdr>
        </w:div>
        <w:div w:id="294920368">
          <w:marLeft w:val="0"/>
          <w:marRight w:val="0"/>
          <w:marTop w:val="0"/>
          <w:marBottom w:val="0"/>
          <w:divBdr>
            <w:top w:val="none" w:sz="0" w:space="0" w:color="auto"/>
            <w:left w:val="none" w:sz="0" w:space="0" w:color="auto"/>
            <w:bottom w:val="none" w:sz="0" w:space="0" w:color="auto"/>
            <w:right w:val="none" w:sz="0" w:space="0" w:color="auto"/>
          </w:divBdr>
        </w:div>
        <w:div w:id="303583513">
          <w:marLeft w:val="0"/>
          <w:marRight w:val="0"/>
          <w:marTop w:val="0"/>
          <w:marBottom w:val="0"/>
          <w:divBdr>
            <w:top w:val="none" w:sz="0" w:space="0" w:color="auto"/>
            <w:left w:val="none" w:sz="0" w:space="0" w:color="auto"/>
            <w:bottom w:val="none" w:sz="0" w:space="0" w:color="auto"/>
            <w:right w:val="none" w:sz="0" w:space="0" w:color="auto"/>
          </w:divBdr>
        </w:div>
        <w:div w:id="306201666">
          <w:marLeft w:val="0"/>
          <w:marRight w:val="0"/>
          <w:marTop w:val="0"/>
          <w:marBottom w:val="0"/>
          <w:divBdr>
            <w:top w:val="none" w:sz="0" w:space="0" w:color="auto"/>
            <w:left w:val="none" w:sz="0" w:space="0" w:color="auto"/>
            <w:bottom w:val="none" w:sz="0" w:space="0" w:color="auto"/>
            <w:right w:val="none" w:sz="0" w:space="0" w:color="auto"/>
          </w:divBdr>
        </w:div>
        <w:div w:id="363291445">
          <w:marLeft w:val="0"/>
          <w:marRight w:val="0"/>
          <w:marTop w:val="0"/>
          <w:marBottom w:val="0"/>
          <w:divBdr>
            <w:top w:val="none" w:sz="0" w:space="0" w:color="auto"/>
            <w:left w:val="none" w:sz="0" w:space="0" w:color="auto"/>
            <w:bottom w:val="none" w:sz="0" w:space="0" w:color="auto"/>
            <w:right w:val="none" w:sz="0" w:space="0" w:color="auto"/>
          </w:divBdr>
        </w:div>
        <w:div w:id="421339512">
          <w:marLeft w:val="0"/>
          <w:marRight w:val="0"/>
          <w:marTop w:val="0"/>
          <w:marBottom w:val="0"/>
          <w:divBdr>
            <w:top w:val="none" w:sz="0" w:space="0" w:color="auto"/>
            <w:left w:val="none" w:sz="0" w:space="0" w:color="auto"/>
            <w:bottom w:val="none" w:sz="0" w:space="0" w:color="auto"/>
            <w:right w:val="none" w:sz="0" w:space="0" w:color="auto"/>
          </w:divBdr>
        </w:div>
        <w:div w:id="476799416">
          <w:marLeft w:val="0"/>
          <w:marRight w:val="0"/>
          <w:marTop w:val="0"/>
          <w:marBottom w:val="0"/>
          <w:divBdr>
            <w:top w:val="none" w:sz="0" w:space="0" w:color="auto"/>
            <w:left w:val="none" w:sz="0" w:space="0" w:color="auto"/>
            <w:bottom w:val="none" w:sz="0" w:space="0" w:color="auto"/>
            <w:right w:val="none" w:sz="0" w:space="0" w:color="auto"/>
          </w:divBdr>
        </w:div>
        <w:div w:id="639189812">
          <w:marLeft w:val="0"/>
          <w:marRight w:val="0"/>
          <w:marTop w:val="0"/>
          <w:marBottom w:val="0"/>
          <w:divBdr>
            <w:top w:val="none" w:sz="0" w:space="0" w:color="auto"/>
            <w:left w:val="none" w:sz="0" w:space="0" w:color="auto"/>
            <w:bottom w:val="none" w:sz="0" w:space="0" w:color="auto"/>
            <w:right w:val="none" w:sz="0" w:space="0" w:color="auto"/>
          </w:divBdr>
        </w:div>
        <w:div w:id="811943389">
          <w:marLeft w:val="0"/>
          <w:marRight w:val="0"/>
          <w:marTop w:val="0"/>
          <w:marBottom w:val="0"/>
          <w:divBdr>
            <w:top w:val="none" w:sz="0" w:space="0" w:color="auto"/>
            <w:left w:val="none" w:sz="0" w:space="0" w:color="auto"/>
            <w:bottom w:val="none" w:sz="0" w:space="0" w:color="auto"/>
            <w:right w:val="none" w:sz="0" w:space="0" w:color="auto"/>
          </w:divBdr>
        </w:div>
        <w:div w:id="839662031">
          <w:marLeft w:val="0"/>
          <w:marRight w:val="0"/>
          <w:marTop w:val="0"/>
          <w:marBottom w:val="0"/>
          <w:divBdr>
            <w:top w:val="none" w:sz="0" w:space="0" w:color="auto"/>
            <w:left w:val="none" w:sz="0" w:space="0" w:color="auto"/>
            <w:bottom w:val="none" w:sz="0" w:space="0" w:color="auto"/>
            <w:right w:val="none" w:sz="0" w:space="0" w:color="auto"/>
          </w:divBdr>
        </w:div>
        <w:div w:id="858929483">
          <w:marLeft w:val="0"/>
          <w:marRight w:val="0"/>
          <w:marTop w:val="0"/>
          <w:marBottom w:val="0"/>
          <w:divBdr>
            <w:top w:val="none" w:sz="0" w:space="0" w:color="auto"/>
            <w:left w:val="none" w:sz="0" w:space="0" w:color="auto"/>
            <w:bottom w:val="none" w:sz="0" w:space="0" w:color="auto"/>
            <w:right w:val="none" w:sz="0" w:space="0" w:color="auto"/>
          </w:divBdr>
        </w:div>
        <w:div w:id="960577233">
          <w:marLeft w:val="0"/>
          <w:marRight w:val="0"/>
          <w:marTop w:val="0"/>
          <w:marBottom w:val="0"/>
          <w:divBdr>
            <w:top w:val="none" w:sz="0" w:space="0" w:color="auto"/>
            <w:left w:val="none" w:sz="0" w:space="0" w:color="auto"/>
            <w:bottom w:val="none" w:sz="0" w:space="0" w:color="auto"/>
            <w:right w:val="none" w:sz="0" w:space="0" w:color="auto"/>
          </w:divBdr>
        </w:div>
        <w:div w:id="1125925336">
          <w:marLeft w:val="0"/>
          <w:marRight w:val="0"/>
          <w:marTop w:val="0"/>
          <w:marBottom w:val="0"/>
          <w:divBdr>
            <w:top w:val="none" w:sz="0" w:space="0" w:color="auto"/>
            <w:left w:val="none" w:sz="0" w:space="0" w:color="auto"/>
            <w:bottom w:val="none" w:sz="0" w:space="0" w:color="auto"/>
            <w:right w:val="none" w:sz="0" w:space="0" w:color="auto"/>
          </w:divBdr>
        </w:div>
        <w:div w:id="1163161058">
          <w:marLeft w:val="0"/>
          <w:marRight w:val="0"/>
          <w:marTop w:val="0"/>
          <w:marBottom w:val="0"/>
          <w:divBdr>
            <w:top w:val="none" w:sz="0" w:space="0" w:color="auto"/>
            <w:left w:val="none" w:sz="0" w:space="0" w:color="auto"/>
            <w:bottom w:val="none" w:sz="0" w:space="0" w:color="auto"/>
            <w:right w:val="none" w:sz="0" w:space="0" w:color="auto"/>
          </w:divBdr>
        </w:div>
        <w:div w:id="1219629405">
          <w:marLeft w:val="0"/>
          <w:marRight w:val="0"/>
          <w:marTop w:val="0"/>
          <w:marBottom w:val="0"/>
          <w:divBdr>
            <w:top w:val="none" w:sz="0" w:space="0" w:color="auto"/>
            <w:left w:val="none" w:sz="0" w:space="0" w:color="auto"/>
            <w:bottom w:val="none" w:sz="0" w:space="0" w:color="auto"/>
            <w:right w:val="none" w:sz="0" w:space="0" w:color="auto"/>
          </w:divBdr>
        </w:div>
        <w:div w:id="1384789182">
          <w:marLeft w:val="0"/>
          <w:marRight w:val="0"/>
          <w:marTop w:val="0"/>
          <w:marBottom w:val="0"/>
          <w:divBdr>
            <w:top w:val="none" w:sz="0" w:space="0" w:color="auto"/>
            <w:left w:val="none" w:sz="0" w:space="0" w:color="auto"/>
            <w:bottom w:val="none" w:sz="0" w:space="0" w:color="auto"/>
            <w:right w:val="none" w:sz="0" w:space="0" w:color="auto"/>
          </w:divBdr>
        </w:div>
        <w:div w:id="1390953580">
          <w:marLeft w:val="0"/>
          <w:marRight w:val="0"/>
          <w:marTop w:val="0"/>
          <w:marBottom w:val="0"/>
          <w:divBdr>
            <w:top w:val="none" w:sz="0" w:space="0" w:color="auto"/>
            <w:left w:val="none" w:sz="0" w:space="0" w:color="auto"/>
            <w:bottom w:val="none" w:sz="0" w:space="0" w:color="auto"/>
            <w:right w:val="none" w:sz="0" w:space="0" w:color="auto"/>
          </w:divBdr>
        </w:div>
        <w:div w:id="1400405185">
          <w:marLeft w:val="0"/>
          <w:marRight w:val="0"/>
          <w:marTop w:val="0"/>
          <w:marBottom w:val="0"/>
          <w:divBdr>
            <w:top w:val="none" w:sz="0" w:space="0" w:color="auto"/>
            <w:left w:val="none" w:sz="0" w:space="0" w:color="auto"/>
            <w:bottom w:val="none" w:sz="0" w:space="0" w:color="auto"/>
            <w:right w:val="none" w:sz="0" w:space="0" w:color="auto"/>
          </w:divBdr>
        </w:div>
        <w:div w:id="1413745350">
          <w:marLeft w:val="0"/>
          <w:marRight w:val="0"/>
          <w:marTop w:val="0"/>
          <w:marBottom w:val="0"/>
          <w:divBdr>
            <w:top w:val="none" w:sz="0" w:space="0" w:color="auto"/>
            <w:left w:val="none" w:sz="0" w:space="0" w:color="auto"/>
            <w:bottom w:val="none" w:sz="0" w:space="0" w:color="auto"/>
            <w:right w:val="none" w:sz="0" w:space="0" w:color="auto"/>
          </w:divBdr>
        </w:div>
        <w:div w:id="1583175121">
          <w:marLeft w:val="0"/>
          <w:marRight w:val="0"/>
          <w:marTop w:val="0"/>
          <w:marBottom w:val="0"/>
          <w:divBdr>
            <w:top w:val="none" w:sz="0" w:space="0" w:color="auto"/>
            <w:left w:val="none" w:sz="0" w:space="0" w:color="auto"/>
            <w:bottom w:val="none" w:sz="0" w:space="0" w:color="auto"/>
            <w:right w:val="none" w:sz="0" w:space="0" w:color="auto"/>
          </w:divBdr>
        </w:div>
        <w:div w:id="1726878478">
          <w:marLeft w:val="0"/>
          <w:marRight w:val="0"/>
          <w:marTop w:val="0"/>
          <w:marBottom w:val="0"/>
          <w:divBdr>
            <w:top w:val="none" w:sz="0" w:space="0" w:color="auto"/>
            <w:left w:val="none" w:sz="0" w:space="0" w:color="auto"/>
            <w:bottom w:val="none" w:sz="0" w:space="0" w:color="auto"/>
            <w:right w:val="none" w:sz="0" w:space="0" w:color="auto"/>
          </w:divBdr>
        </w:div>
        <w:div w:id="1807506097">
          <w:marLeft w:val="0"/>
          <w:marRight w:val="0"/>
          <w:marTop w:val="0"/>
          <w:marBottom w:val="0"/>
          <w:divBdr>
            <w:top w:val="none" w:sz="0" w:space="0" w:color="auto"/>
            <w:left w:val="none" w:sz="0" w:space="0" w:color="auto"/>
            <w:bottom w:val="none" w:sz="0" w:space="0" w:color="auto"/>
            <w:right w:val="none" w:sz="0" w:space="0" w:color="auto"/>
          </w:divBdr>
        </w:div>
        <w:div w:id="1838299782">
          <w:marLeft w:val="0"/>
          <w:marRight w:val="0"/>
          <w:marTop w:val="0"/>
          <w:marBottom w:val="0"/>
          <w:divBdr>
            <w:top w:val="none" w:sz="0" w:space="0" w:color="auto"/>
            <w:left w:val="none" w:sz="0" w:space="0" w:color="auto"/>
            <w:bottom w:val="none" w:sz="0" w:space="0" w:color="auto"/>
            <w:right w:val="none" w:sz="0" w:space="0" w:color="auto"/>
          </w:divBdr>
        </w:div>
        <w:div w:id="1899708053">
          <w:marLeft w:val="0"/>
          <w:marRight w:val="0"/>
          <w:marTop w:val="0"/>
          <w:marBottom w:val="0"/>
          <w:divBdr>
            <w:top w:val="none" w:sz="0" w:space="0" w:color="auto"/>
            <w:left w:val="none" w:sz="0" w:space="0" w:color="auto"/>
            <w:bottom w:val="none" w:sz="0" w:space="0" w:color="auto"/>
            <w:right w:val="none" w:sz="0" w:space="0" w:color="auto"/>
          </w:divBdr>
        </w:div>
        <w:div w:id="1916164899">
          <w:marLeft w:val="0"/>
          <w:marRight w:val="0"/>
          <w:marTop w:val="0"/>
          <w:marBottom w:val="0"/>
          <w:divBdr>
            <w:top w:val="none" w:sz="0" w:space="0" w:color="auto"/>
            <w:left w:val="none" w:sz="0" w:space="0" w:color="auto"/>
            <w:bottom w:val="none" w:sz="0" w:space="0" w:color="auto"/>
            <w:right w:val="none" w:sz="0" w:space="0" w:color="auto"/>
          </w:divBdr>
        </w:div>
        <w:div w:id="202566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CAB0D-9900-9E4F-8F76-249427EE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2506</Words>
  <Characters>14289</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Organization</vt:lpstr>
    </vt:vector>
  </TitlesOfParts>
  <Company>METI, Inc.</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Steve J. Solem</dc:creator>
  <cp:lastModifiedBy>Steve Solem</cp:lastModifiedBy>
  <cp:revision>2</cp:revision>
  <cp:lastPrinted>2012-12-08T14:08:00Z</cp:lastPrinted>
  <dcterms:created xsi:type="dcterms:W3CDTF">2013-11-06T13:06:00Z</dcterms:created>
  <dcterms:modified xsi:type="dcterms:W3CDTF">2013-11-06T13:06:00Z</dcterms:modified>
</cp:coreProperties>
</file>