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8641E" w14:textId="440DFACF" w:rsidR="00B57B37" w:rsidRDefault="00E601B7">
      <w:r>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675BB921" wp14:editId="44DA1056">
                <wp:simplePos x="0" y="0"/>
                <wp:positionH relativeFrom="column">
                  <wp:posOffset>0</wp:posOffset>
                </wp:positionH>
                <wp:positionV relativeFrom="paragraph">
                  <wp:posOffset>228600</wp:posOffset>
                </wp:positionV>
                <wp:extent cx="56007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8B737" w14:textId="77777777" w:rsidR="006D5542" w:rsidRDefault="006D5542" w:rsidP="00E601B7">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0C099E70" w14:textId="77777777" w:rsidR="006D5542" w:rsidRPr="00E528A0" w:rsidRDefault="006D5542" w:rsidP="00E601B7">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680FDFEA" w14:textId="77777777" w:rsidR="006D5542" w:rsidRPr="00EA609D" w:rsidRDefault="006D5542" w:rsidP="00E601B7">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18pt;width:44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Sk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" filled="f" stroked="f">
                <v:textbox>
                  <w:txbxContent>
                    <w:p w14:paraId="4328B737" w14:textId="77777777" w:rsidR="006D5542" w:rsidRDefault="006D5542" w:rsidP="00E601B7">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0C099E70" w14:textId="77777777" w:rsidR="006D5542" w:rsidRPr="00E528A0" w:rsidRDefault="006D5542" w:rsidP="00E601B7">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680FDFEA" w14:textId="77777777" w:rsidR="006D5542" w:rsidRPr="00EA609D" w:rsidRDefault="006D5542" w:rsidP="00E601B7">
                      <w:pPr>
                        <w:rPr>
                          <w:szCs w:val="28"/>
                        </w:rPr>
                      </w:pPr>
                    </w:p>
                  </w:txbxContent>
                </v:textbox>
              </v:shape>
            </w:pict>
          </mc:Fallback>
        </mc:AlternateContent>
      </w:r>
      <w:r w:rsidR="00B25BB5">
        <w:rPr>
          <w:noProof/>
        </w:rPr>
        <w:drawing>
          <wp:inline distT="0" distB="0" distL="0" distR="0" wp14:anchorId="4D68E0F7" wp14:editId="65673352">
            <wp:extent cx="5749290" cy="914400"/>
            <wp:effectExtent l="19050" t="0" r="3810" b="0"/>
            <wp:docPr id="1" name="Picture 1" descr="P909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9090073"/>
                    <pic:cNvPicPr>
                      <a:picLocks noChangeAspect="1" noChangeArrowheads="1"/>
                    </pic:cNvPicPr>
                  </pic:nvPicPr>
                  <pic:blipFill>
                    <a:blip r:embed="rId9" cstate="print">
                      <a:lum bright="52000" contrast="20000"/>
                    </a:blip>
                    <a:srcRect/>
                    <a:stretch>
                      <a:fillRect/>
                    </a:stretch>
                  </pic:blipFill>
                  <pic:spPr bwMode="auto">
                    <a:xfrm>
                      <a:off x="0" y="0"/>
                      <a:ext cx="5749290" cy="914400"/>
                    </a:xfrm>
                    <a:prstGeom prst="rect">
                      <a:avLst/>
                    </a:prstGeom>
                    <a:noFill/>
                    <a:ln w="9525">
                      <a:noFill/>
                      <a:miter lim="800000"/>
                      <a:headEnd/>
                      <a:tailEnd/>
                    </a:ln>
                  </pic:spPr>
                </pic:pic>
              </a:graphicData>
            </a:graphic>
          </wp:inline>
        </w:drawing>
      </w:r>
    </w:p>
    <w:p w14:paraId="5C15C1A4" w14:textId="462179E3" w:rsidR="00545908" w:rsidRPr="00C36789" w:rsidRDefault="00545908" w:rsidP="00545908">
      <w:pPr>
        <w:spacing w:before="240"/>
        <w:rPr>
          <w:rFonts w:asciiTheme="minorHAnsi" w:hAnsiTheme="minorHAnsi" w:cs="Arial"/>
          <w:sz w:val="22"/>
          <w:szCs w:val="22"/>
        </w:rPr>
      </w:pPr>
      <w:r w:rsidRPr="00C36789">
        <w:rPr>
          <w:rFonts w:asciiTheme="minorHAnsi" w:hAnsiTheme="minorHAnsi" w:cs="Arial"/>
          <w:b/>
          <w:sz w:val="22"/>
          <w:szCs w:val="22"/>
        </w:rPr>
        <w:t>Date:</w:t>
      </w:r>
      <w:r w:rsidR="004D4DE9">
        <w:rPr>
          <w:rFonts w:asciiTheme="minorHAnsi" w:hAnsiTheme="minorHAnsi" w:cs="Arial"/>
          <w:sz w:val="22"/>
          <w:szCs w:val="22"/>
        </w:rPr>
        <w:t xml:space="preserve"> 6/13</w:t>
      </w:r>
      <w:r w:rsidR="00E601B7">
        <w:rPr>
          <w:rFonts w:asciiTheme="minorHAnsi" w:hAnsiTheme="minorHAnsi" w:cs="Arial"/>
          <w:sz w:val="22"/>
          <w:szCs w:val="22"/>
        </w:rPr>
        <w:t>/12</w:t>
      </w:r>
      <w:r w:rsidRPr="00C36789">
        <w:rPr>
          <w:rFonts w:asciiTheme="minorHAnsi" w:hAnsiTheme="minorHAnsi" w:cs="Arial"/>
          <w:sz w:val="22"/>
          <w:szCs w:val="22"/>
        </w:rPr>
        <w:t xml:space="preserve"> (</w:t>
      </w:r>
      <w:r w:rsidR="00342E43">
        <w:rPr>
          <w:rFonts w:asciiTheme="minorHAnsi" w:hAnsiTheme="minorHAnsi" w:cs="Arial"/>
          <w:sz w:val="22"/>
          <w:szCs w:val="22"/>
        </w:rPr>
        <w:t>Final</w:t>
      </w:r>
      <w:r w:rsidRPr="00C36789">
        <w:rPr>
          <w:rFonts w:asciiTheme="minorHAnsi" w:hAnsiTheme="minorHAnsi" w:cs="Arial"/>
          <w:sz w:val="22"/>
          <w:szCs w:val="22"/>
        </w:rPr>
        <w:t>)</w:t>
      </w:r>
    </w:p>
    <w:p w14:paraId="49B29C40" w14:textId="77777777" w:rsidR="00545908" w:rsidRPr="00C36789" w:rsidRDefault="00545908" w:rsidP="00545908">
      <w:pPr>
        <w:rPr>
          <w:rFonts w:asciiTheme="minorHAnsi" w:hAnsiTheme="minorHAnsi" w:cs="Arial"/>
          <w:sz w:val="22"/>
          <w:szCs w:val="22"/>
        </w:rPr>
      </w:pPr>
      <w:r w:rsidRPr="00C36789">
        <w:rPr>
          <w:rFonts w:asciiTheme="minorHAnsi" w:hAnsiTheme="minorHAnsi" w:cs="Arial"/>
          <w:b/>
          <w:sz w:val="22"/>
          <w:szCs w:val="22"/>
        </w:rPr>
        <w:t>Subject:</w:t>
      </w:r>
      <w:r w:rsidRPr="00C36789">
        <w:rPr>
          <w:rFonts w:asciiTheme="minorHAnsi" w:hAnsiTheme="minorHAnsi" w:cs="Arial"/>
          <w:sz w:val="22"/>
          <w:szCs w:val="22"/>
        </w:rPr>
        <w:t xml:space="preserve"> Core Team Conference Call</w:t>
      </w:r>
    </w:p>
    <w:p w14:paraId="64211DC3" w14:textId="1730509E" w:rsidR="00545908" w:rsidRPr="00C36789" w:rsidRDefault="00545908" w:rsidP="00545908">
      <w:pPr>
        <w:rPr>
          <w:rFonts w:asciiTheme="minorHAnsi" w:hAnsiTheme="minorHAnsi" w:cs="Arial"/>
          <w:sz w:val="22"/>
          <w:szCs w:val="22"/>
        </w:rPr>
      </w:pPr>
      <w:r w:rsidRPr="00C36789">
        <w:rPr>
          <w:rFonts w:asciiTheme="minorHAnsi" w:hAnsiTheme="minorHAnsi" w:cs="Arial"/>
          <w:b/>
          <w:sz w:val="22"/>
          <w:szCs w:val="22"/>
        </w:rPr>
        <w:t>Participants:</w:t>
      </w:r>
      <w:r w:rsidRPr="00C36789">
        <w:rPr>
          <w:rFonts w:asciiTheme="minorHAnsi" w:hAnsiTheme="minorHAnsi" w:cs="Arial"/>
          <w:sz w:val="22"/>
          <w:szCs w:val="22"/>
        </w:rPr>
        <w:t xml:space="preserve"> </w:t>
      </w:r>
      <w:r w:rsidR="004159FA" w:rsidRPr="00FC7C1E">
        <w:rPr>
          <w:rFonts w:asciiTheme="minorHAnsi" w:hAnsiTheme="minorHAnsi" w:cs="Arial"/>
          <w:sz w:val="22"/>
          <w:szCs w:val="22"/>
        </w:rPr>
        <w:t>Allison Aldous</w:t>
      </w:r>
      <w:r w:rsidR="004159FA" w:rsidRPr="00FC7C1E">
        <w:rPr>
          <w:rFonts w:asciiTheme="minorHAnsi" w:hAnsiTheme="minorHAnsi" w:cs="Arial"/>
          <w:color w:val="000000"/>
          <w:sz w:val="22"/>
          <w:szCs w:val="22"/>
        </w:rPr>
        <w:t xml:space="preserve">, </w:t>
      </w:r>
      <w:r w:rsidR="00E601B7" w:rsidRPr="00FC7C1E">
        <w:rPr>
          <w:rFonts w:asciiTheme="minorHAnsi" w:hAnsiTheme="minorHAnsi" w:cs="Arial"/>
          <w:color w:val="000000"/>
          <w:sz w:val="22"/>
          <w:szCs w:val="22"/>
        </w:rPr>
        <w:t xml:space="preserve">Devendra Amatya, </w:t>
      </w:r>
      <w:r w:rsidR="004159FA" w:rsidRPr="00FC7C1E">
        <w:rPr>
          <w:rFonts w:asciiTheme="minorHAnsi" w:hAnsiTheme="minorHAnsi" w:cs="Arial"/>
          <w:color w:val="000000"/>
          <w:sz w:val="22"/>
          <w:szCs w:val="22"/>
        </w:rPr>
        <w:t xml:space="preserve">Chris Carlson, </w:t>
      </w:r>
      <w:r w:rsidRPr="00FC7C1E">
        <w:rPr>
          <w:rFonts w:asciiTheme="minorHAnsi" w:hAnsiTheme="minorHAnsi" w:cs="Arial"/>
          <w:color w:val="000000"/>
          <w:sz w:val="22"/>
          <w:szCs w:val="22"/>
        </w:rPr>
        <w:t>Trish Carroll</w:t>
      </w:r>
      <w:r w:rsidR="00FC7C1E" w:rsidRPr="00FC7C1E">
        <w:rPr>
          <w:rFonts w:asciiTheme="minorHAnsi" w:hAnsiTheme="minorHAnsi" w:cs="Arial"/>
          <w:color w:val="000000"/>
          <w:sz w:val="22"/>
          <w:szCs w:val="22"/>
        </w:rPr>
        <w:t>,</w:t>
      </w:r>
      <w:r w:rsidRPr="00FC7C1E">
        <w:rPr>
          <w:rFonts w:asciiTheme="minorHAnsi" w:hAnsiTheme="minorHAnsi" w:cs="Arial"/>
          <w:color w:val="000000"/>
          <w:sz w:val="22"/>
          <w:szCs w:val="22"/>
        </w:rPr>
        <w:t xml:space="preserve"> </w:t>
      </w:r>
      <w:r w:rsidR="004159FA" w:rsidRPr="00FC7C1E">
        <w:rPr>
          <w:rFonts w:asciiTheme="minorHAnsi" w:hAnsiTheme="minorHAnsi" w:cs="Arial"/>
          <w:color w:val="000000"/>
          <w:sz w:val="22"/>
          <w:szCs w:val="22"/>
        </w:rPr>
        <w:t xml:space="preserve">Megan Lang, </w:t>
      </w:r>
      <w:r w:rsidRPr="00FC7C1E">
        <w:rPr>
          <w:rFonts w:asciiTheme="minorHAnsi" w:hAnsiTheme="minorHAnsi" w:cs="Arial"/>
          <w:sz w:val="22"/>
          <w:szCs w:val="22"/>
        </w:rPr>
        <w:t>Andy Rorick</w:t>
      </w:r>
      <w:r w:rsidR="00D959C2" w:rsidRPr="00FC7C1E">
        <w:rPr>
          <w:rFonts w:asciiTheme="minorHAnsi" w:hAnsiTheme="minorHAnsi" w:cs="Arial"/>
          <w:color w:val="000000"/>
          <w:sz w:val="22"/>
          <w:szCs w:val="22"/>
        </w:rPr>
        <w:t xml:space="preserve">, </w:t>
      </w:r>
      <w:r w:rsidRPr="00FC7C1E">
        <w:rPr>
          <w:rFonts w:asciiTheme="minorHAnsi" w:hAnsiTheme="minorHAnsi" w:cs="Arial"/>
          <w:sz w:val="22"/>
          <w:szCs w:val="22"/>
        </w:rPr>
        <w:t>Steve Solem</w:t>
      </w:r>
      <w:r w:rsidR="007862AE" w:rsidRPr="00FC7C1E">
        <w:rPr>
          <w:rFonts w:asciiTheme="minorHAnsi" w:hAnsiTheme="minorHAnsi" w:cs="Arial"/>
          <w:sz w:val="22"/>
          <w:szCs w:val="22"/>
        </w:rPr>
        <w:t>,</w:t>
      </w:r>
      <w:r w:rsidR="007862AE" w:rsidRPr="00FC7C1E">
        <w:rPr>
          <w:rFonts w:asciiTheme="minorHAnsi" w:hAnsiTheme="minorHAnsi" w:cs="Arial"/>
          <w:color w:val="000000"/>
          <w:sz w:val="22"/>
          <w:szCs w:val="22"/>
        </w:rPr>
        <w:t xml:space="preserve"> Troy Thompson</w:t>
      </w:r>
    </w:p>
    <w:p w14:paraId="657FABDD" w14:textId="03468FCC" w:rsidR="00545908" w:rsidRPr="00C36789" w:rsidRDefault="00545908" w:rsidP="00545908">
      <w:pPr>
        <w:spacing w:after="240"/>
        <w:rPr>
          <w:rFonts w:asciiTheme="minorHAnsi" w:hAnsiTheme="minorHAnsi" w:cs="Arial"/>
          <w:color w:val="000000"/>
          <w:sz w:val="22"/>
          <w:szCs w:val="22"/>
        </w:rPr>
      </w:pPr>
      <w:r w:rsidRPr="00C36789">
        <w:rPr>
          <w:rFonts w:asciiTheme="minorHAnsi" w:hAnsiTheme="minorHAnsi" w:cs="Arial"/>
          <w:b/>
          <w:sz w:val="22"/>
          <w:szCs w:val="22"/>
        </w:rPr>
        <w:t>Un</w:t>
      </w:r>
      <w:r w:rsidR="00E601B7">
        <w:rPr>
          <w:rFonts w:asciiTheme="minorHAnsi" w:hAnsiTheme="minorHAnsi" w:cs="Arial"/>
          <w:b/>
          <w:sz w:val="22"/>
          <w:szCs w:val="22"/>
        </w:rPr>
        <w:t>able to Join Call</w:t>
      </w:r>
      <w:r w:rsidRPr="00C36789">
        <w:rPr>
          <w:rFonts w:asciiTheme="minorHAnsi" w:hAnsiTheme="minorHAnsi" w:cs="Arial"/>
          <w:b/>
          <w:sz w:val="22"/>
          <w:szCs w:val="22"/>
        </w:rPr>
        <w:t>:</w:t>
      </w:r>
      <w:r w:rsidR="00FC7C1E">
        <w:rPr>
          <w:rFonts w:asciiTheme="minorHAnsi" w:hAnsiTheme="minorHAnsi" w:cs="Arial"/>
          <w:color w:val="000000"/>
          <w:sz w:val="22"/>
          <w:szCs w:val="22"/>
        </w:rPr>
        <w:t xml:space="preserve"> </w:t>
      </w:r>
      <w:r w:rsidR="004D4DE9" w:rsidRPr="00C36789">
        <w:rPr>
          <w:rFonts w:asciiTheme="minorHAnsi" w:hAnsiTheme="minorHAnsi" w:cs="Arial"/>
          <w:color w:val="000000"/>
          <w:sz w:val="22"/>
          <w:szCs w:val="22"/>
        </w:rPr>
        <w:t>Joe Gurrieri</w:t>
      </w:r>
      <w:r w:rsidR="00FC7C1E">
        <w:rPr>
          <w:rFonts w:asciiTheme="minorHAnsi" w:hAnsiTheme="minorHAnsi" w:cs="Arial"/>
          <w:color w:val="000000"/>
          <w:sz w:val="22"/>
          <w:szCs w:val="22"/>
        </w:rPr>
        <w:t>, Kate Dwire</w:t>
      </w:r>
    </w:p>
    <w:p w14:paraId="6DF117F2" w14:textId="77777777" w:rsidR="00545908" w:rsidRPr="00C36789" w:rsidRDefault="00545908" w:rsidP="00545908">
      <w:pPr>
        <w:pBdr>
          <w:top w:val="double" w:sz="4" w:space="1" w:color="auto"/>
          <w:bottom w:val="double" w:sz="4" w:space="1" w:color="auto"/>
        </w:pBdr>
        <w:jc w:val="center"/>
        <w:rPr>
          <w:rStyle w:val="Strong"/>
          <w:rFonts w:asciiTheme="minorHAnsi" w:hAnsiTheme="minorHAnsi" w:cs="Arial"/>
          <w:color w:val="000000"/>
          <w:sz w:val="22"/>
          <w:szCs w:val="22"/>
        </w:rPr>
      </w:pPr>
      <w:r w:rsidRPr="00C36789">
        <w:rPr>
          <w:rStyle w:val="Strong"/>
          <w:rFonts w:asciiTheme="minorHAnsi" w:hAnsiTheme="minorHAnsi" w:cs="Arial"/>
          <w:color w:val="000000"/>
          <w:sz w:val="22"/>
          <w:szCs w:val="22"/>
        </w:rPr>
        <w:t>Discussion Topics and Action Items</w:t>
      </w:r>
    </w:p>
    <w:p w14:paraId="71473F06" w14:textId="10BFC482" w:rsidR="00E601B7" w:rsidRPr="00E601B7" w:rsidRDefault="00E601B7" w:rsidP="00E601B7">
      <w:pPr>
        <w:spacing w:before="240"/>
        <w:jc w:val="center"/>
        <w:rPr>
          <w:rStyle w:val="Strong"/>
          <w:rFonts w:asciiTheme="minorHAnsi" w:hAnsiTheme="minorHAnsi" w:cs="Arial"/>
          <w:color w:val="000000"/>
          <w:sz w:val="22"/>
          <w:szCs w:val="22"/>
        </w:rPr>
      </w:pPr>
      <w:r w:rsidRPr="00E601B7">
        <w:rPr>
          <w:rStyle w:val="Strong"/>
          <w:rFonts w:asciiTheme="minorHAnsi" w:hAnsiTheme="minorHAnsi" w:cs="Arial"/>
          <w:color w:val="000000"/>
          <w:sz w:val="22"/>
          <w:szCs w:val="22"/>
          <w:highlight w:val="yellow"/>
        </w:rPr>
        <w:t xml:space="preserve">Next Core Team Call on </w:t>
      </w:r>
      <w:r w:rsidR="004D4DE9">
        <w:rPr>
          <w:rStyle w:val="Strong"/>
          <w:rFonts w:asciiTheme="minorHAnsi" w:hAnsiTheme="minorHAnsi" w:cs="Arial"/>
          <w:color w:val="000000"/>
          <w:sz w:val="22"/>
          <w:szCs w:val="22"/>
          <w:highlight w:val="yellow"/>
        </w:rPr>
        <w:t>September</w:t>
      </w:r>
      <w:r w:rsidRPr="00E601B7">
        <w:rPr>
          <w:rStyle w:val="Strong"/>
          <w:rFonts w:asciiTheme="minorHAnsi" w:hAnsiTheme="minorHAnsi" w:cs="Arial"/>
          <w:color w:val="000000"/>
          <w:sz w:val="22"/>
          <w:szCs w:val="22"/>
          <w:highlight w:val="yellow"/>
        </w:rPr>
        <w:t xml:space="preserve"> 13 @ 2:00 EDT/12:00 MST</w:t>
      </w:r>
    </w:p>
    <w:p w14:paraId="553096E0" w14:textId="77777777" w:rsidR="00545908" w:rsidRPr="00C36789" w:rsidRDefault="004159FA" w:rsidP="00302229">
      <w:pPr>
        <w:pStyle w:val="ListParagraph"/>
        <w:numPr>
          <w:ilvl w:val="0"/>
          <w:numId w:val="28"/>
        </w:numPr>
        <w:spacing w:before="240"/>
        <w:rPr>
          <w:rStyle w:val="Strong"/>
          <w:rFonts w:asciiTheme="minorHAnsi" w:hAnsiTheme="minorHAnsi" w:cs="Arial"/>
          <w:color w:val="000000"/>
          <w:sz w:val="22"/>
          <w:szCs w:val="22"/>
        </w:rPr>
      </w:pPr>
      <w:r>
        <w:rPr>
          <w:rStyle w:val="Strong"/>
          <w:rFonts w:asciiTheme="minorHAnsi" w:hAnsiTheme="minorHAnsi" w:cs="Arial"/>
          <w:color w:val="000000"/>
          <w:sz w:val="22"/>
          <w:szCs w:val="22"/>
        </w:rPr>
        <w:t xml:space="preserve">Project Overview </w:t>
      </w:r>
    </w:p>
    <w:p w14:paraId="5AF948F9" w14:textId="08C43FF1" w:rsidR="00FC7C1E" w:rsidRDefault="00D80E33" w:rsidP="00E601B7">
      <w:pPr>
        <w:spacing w:before="240"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Sol</w:t>
      </w:r>
      <w:bookmarkStart w:id="0" w:name="_GoBack"/>
      <w:bookmarkEnd w:id="0"/>
      <w:r>
        <w:rPr>
          <w:rStyle w:val="Strong"/>
          <w:rFonts w:asciiTheme="minorHAnsi" w:hAnsiTheme="minorHAnsi" w:cs="Arial"/>
          <w:b w:val="0"/>
          <w:color w:val="000000"/>
          <w:sz w:val="22"/>
          <w:szCs w:val="22"/>
        </w:rPr>
        <w:t xml:space="preserve">em </w:t>
      </w:r>
      <w:r w:rsidR="00FC7C1E">
        <w:rPr>
          <w:rStyle w:val="Strong"/>
          <w:rFonts w:asciiTheme="minorHAnsi" w:hAnsiTheme="minorHAnsi" w:cs="Arial"/>
          <w:b w:val="0"/>
          <w:color w:val="000000"/>
          <w:sz w:val="22"/>
          <w:szCs w:val="22"/>
        </w:rPr>
        <w:t>reviewed the current project schedule with the group.  The main “event” within the project schedule is revision of the Technical Guide based on comments from the Core Team that will b</w:t>
      </w:r>
      <w:r w:rsidR="00A51522">
        <w:rPr>
          <w:rStyle w:val="Strong"/>
          <w:rFonts w:asciiTheme="minorHAnsi" w:hAnsiTheme="minorHAnsi" w:cs="Arial"/>
          <w:b w:val="0"/>
          <w:color w:val="000000"/>
          <w:sz w:val="22"/>
          <w:szCs w:val="22"/>
        </w:rPr>
        <w:t>e discussed later in the call.</w:t>
      </w:r>
    </w:p>
    <w:p w14:paraId="5FFC00D8" w14:textId="77777777" w:rsidR="00FC7C1E" w:rsidRDefault="00FC7C1E" w:rsidP="00FC7C1E">
      <w:pPr>
        <w:spacing w:before="240"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Work on Environmental Flows and Levels and Remote Sensing are depicted as separate task groups on the updated schedule.  Information from these two areas will be integrated with the rest of the Technical Guide prior to the Technical Review in October.</w:t>
      </w:r>
    </w:p>
    <w:p w14:paraId="5259C2C8" w14:textId="37BD0DD1" w:rsidR="00545908" w:rsidRPr="00FC7C1E" w:rsidRDefault="00E601B7" w:rsidP="00FC7C1E">
      <w:pPr>
        <w:pStyle w:val="ListParagraph"/>
        <w:numPr>
          <w:ilvl w:val="0"/>
          <w:numId w:val="28"/>
        </w:numPr>
        <w:spacing w:before="240" w:after="200"/>
        <w:rPr>
          <w:rStyle w:val="Strong"/>
          <w:rFonts w:asciiTheme="minorHAnsi" w:hAnsiTheme="minorHAnsi" w:cs="Arial"/>
          <w:color w:val="000000"/>
          <w:sz w:val="22"/>
          <w:szCs w:val="22"/>
        </w:rPr>
      </w:pPr>
      <w:r w:rsidRPr="00FC7C1E">
        <w:rPr>
          <w:rStyle w:val="Strong"/>
          <w:rFonts w:asciiTheme="minorHAnsi" w:hAnsiTheme="minorHAnsi" w:cs="Arial"/>
          <w:color w:val="000000"/>
          <w:sz w:val="22"/>
          <w:szCs w:val="22"/>
        </w:rPr>
        <w:t>Groundwater Inventory, Monitoring</w:t>
      </w:r>
      <w:r w:rsidR="0001064E" w:rsidRPr="00FC7C1E">
        <w:rPr>
          <w:rStyle w:val="Strong"/>
          <w:rFonts w:asciiTheme="minorHAnsi" w:hAnsiTheme="minorHAnsi" w:cs="Arial"/>
          <w:color w:val="000000"/>
          <w:sz w:val="22"/>
          <w:szCs w:val="22"/>
        </w:rPr>
        <w:t xml:space="preserve"> and Assessment Technical Guide</w:t>
      </w:r>
    </w:p>
    <w:p w14:paraId="774C48CC" w14:textId="292A4B41" w:rsidR="0001064E" w:rsidRDefault="00BC49CB" w:rsidP="0001064E">
      <w:pPr>
        <w:spacing w:before="240" w:after="24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Steve Solem </w:t>
      </w:r>
      <w:r w:rsidR="00FC7C1E">
        <w:rPr>
          <w:rStyle w:val="Strong"/>
          <w:rFonts w:asciiTheme="minorHAnsi" w:hAnsiTheme="minorHAnsi" w:cs="Arial"/>
          <w:b w:val="0"/>
          <w:color w:val="000000"/>
          <w:sz w:val="22"/>
          <w:szCs w:val="22"/>
        </w:rPr>
        <w:t>led the discussion of the following items related to the GW IM&amp;A Technical Guide:</w:t>
      </w:r>
    </w:p>
    <w:p w14:paraId="4A647E82" w14:textId="75210407" w:rsidR="0001064E" w:rsidRDefault="0001064E" w:rsidP="0001064E">
      <w:pPr>
        <w:spacing w:before="240" w:after="240"/>
        <w:ind w:left="162"/>
        <w:rPr>
          <w:rStyle w:val="Strong"/>
          <w:rFonts w:asciiTheme="minorHAnsi" w:hAnsiTheme="minorHAnsi" w:cs="Arial"/>
          <w:b w:val="0"/>
          <w:color w:val="000000"/>
          <w:sz w:val="22"/>
          <w:szCs w:val="22"/>
        </w:rPr>
      </w:pPr>
      <w:r w:rsidRPr="00BC49CB">
        <w:rPr>
          <w:rStyle w:val="Strong"/>
          <w:rFonts w:asciiTheme="minorHAnsi" w:hAnsiTheme="minorHAnsi" w:cs="Arial"/>
          <w:b w:val="0"/>
          <w:color w:val="000000"/>
          <w:sz w:val="22"/>
          <w:szCs w:val="22"/>
          <w:u w:val="single"/>
        </w:rPr>
        <w:t>Core Team Comment Summary/Proposed Reconciliation</w:t>
      </w:r>
      <w:r>
        <w:rPr>
          <w:rStyle w:val="Strong"/>
          <w:rFonts w:asciiTheme="minorHAnsi" w:hAnsiTheme="minorHAnsi" w:cs="Arial"/>
          <w:b w:val="0"/>
          <w:color w:val="000000"/>
          <w:sz w:val="22"/>
          <w:szCs w:val="22"/>
        </w:rPr>
        <w:t xml:space="preserve"> </w:t>
      </w:r>
      <w:r w:rsidR="005E7F7D">
        <w:rPr>
          <w:rStyle w:val="Strong"/>
          <w:rFonts w:asciiTheme="minorHAnsi" w:hAnsiTheme="minorHAnsi" w:cs="Arial"/>
          <w:b w:val="0"/>
          <w:color w:val="000000"/>
          <w:sz w:val="22"/>
          <w:szCs w:val="22"/>
        </w:rPr>
        <w:t>–</w:t>
      </w:r>
      <w:r>
        <w:rPr>
          <w:rStyle w:val="Strong"/>
          <w:rFonts w:asciiTheme="minorHAnsi" w:hAnsiTheme="minorHAnsi" w:cs="Arial"/>
          <w:b w:val="0"/>
          <w:color w:val="000000"/>
          <w:sz w:val="22"/>
          <w:szCs w:val="22"/>
        </w:rPr>
        <w:t xml:space="preserve"> </w:t>
      </w:r>
      <w:r w:rsidR="00FC7C1E">
        <w:rPr>
          <w:rStyle w:val="Strong"/>
          <w:rFonts w:asciiTheme="minorHAnsi" w:hAnsiTheme="minorHAnsi" w:cs="Arial"/>
          <w:b w:val="0"/>
          <w:color w:val="000000"/>
          <w:sz w:val="22"/>
          <w:szCs w:val="22"/>
        </w:rPr>
        <w:t>Core Team comments on all sections were reviewed and resulted in the identification of eight substantive comments that were discussed in detail.  Megan Lang’s comments were sent just prior to the call and were not included in this analysis, so she added her comments into the discussion as appropriate.  The attached comment summary and reconciliation documents the details of the Core Team discussion on the substantive comments.</w:t>
      </w:r>
    </w:p>
    <w:p w14:paraId="2584DD0D" w14:textId="23398349" w:rsidR="00FC7C1E" w:rsidRPr="00FC7C1E" w:rsidRDefault="00FC7C1E" w:rsidP="0001064E">
      <w:pPr>
        <w:spacing w:before="240" w:after="240"/>
        <w:ind w:left="162"/>
        <w:rPr>
          <w:rStyle w:val="Strong"/>
          <w:rFonts w:asciiTheme="minorHAnsi" w:hAnsiTheme="minorHAnsi" w:cs="Arial"/>
          <w:b w:val="0"/>
          <w:color w:val="000000"/>
          <w:sz w:val="22"/>
          <w:szCs w:val="22"/>
        </w:rPr>
      </w:pPr>
      <w:r w:rsidRPr="00FC7C1E">
        <w:rPr>
          <w:rStyle w:val="Strong"/>
          <w:rFonts w:asciiTheme="minorHAnsi" w:hAnsiTheme="minorHAnsi" w:cs="Arial"/>
          <w:b w:val="0"/>
          <w:color w:val="000000"/>
          <w:sz w:val="22"/>
          <w:szCs w:val="22"/>
        </w:rPr>
        <w:t>Steve requested the Core Team to identify any suggested edits and comments provided during the review that individuals feel should not be made.  If there are no objections, the editing team will proceed with making the changes.</w:t>
      </w:r>
    </w:p>
    <w:p w14:paraId="7B0634B3" w14:textId="7C023610" w:rsidR="00E601B7" w:rsidRDefault="00E601B7" w:rsidP="006A2F9F">
      <w:pPr>
        <w:spacing w:after="240"/>
        <w:ind w:left="162"/>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u w:val="single"/>
        </w:rPr>
        <w:t>Document Outline</w:t>
      </w:r>
      <w:r w:rsidR="0040047C">
        <w:rPr>
          <w:rStyle w:val="Strong"/>
          <w:rFonts w:asciiTheme="minorHAnsi" w:hAnsiTheme="minorHAnsi" w:cs="Arial"/>
          <w:b w:val="0"/>
          <w:color w:val="000000"/>
          <w:sz w:val="22"/>
          <w:szCs w:val="22"/>
        </w:rPr>
        <w:t xml:space="preserve"> – </w:t>
      </w:r>
      <w:r>
        <w:rPr>
          <w:rStyle w:val="Strong"/>
          <w:rFonts w:asciiTheme="minorHAnsi" w:hAnsiTheme="minorHAnsi" w:cs="Arial"/>
          <w:b w:val="0"/>
          <w:color w:val="000000"/>
          <w:sz w:val="22"/>
          <w:szCs w:val="22"/>
        </w:rPr>
        <w:t>The purpose of the</w:t>
      </w:r>
      <w:r w:rsidR="006A2F9F">
        <w:rPr>
          <w:rStyle w:val="Strong"/>
          <w:rFonts w:asciiTheme="minorHAnsi" w:hAnsiTheme="minorHAnsi" w:cs="Arial"/>
          <w:b w:val="0"/>
          <w:color w:val="000000"/>
          <w:sz w:val="22"/>
          <w:szCs w:val="22"/>
        </w:rPr>
        <w:t xml:space="preserve"> TG is to describe inventory, monitoring, and assessment </w:t>
      </w:r>
      <w:r>
        <w:rPr>
          <w:rStyle w:val="Strong"/>
          <w:rFonts w:asciiTheme="minorHAnsi" w:hAnsiTheme="minorHAnsi" w:cs="Arial"/>
          <w:b w:val="0"/>
          <w:color w:val="000000"/>
          <w:sz w:val="22"/>
          <w:szCs w:val="22"/>
        </w:rPr>
        <w:t xml:space="preserve">concepts and </w:t>
      </w:r>
      <w:r w:rsidR="006A2F9F">
        <w:rPr>
          <w:rStyle w:val="Strong"/>
          <w:rFonts w:asciiTheme="minorHAnsi" w:hAnsiTheme="minorHAnsi" w:cs="Arial"/>
          <w:b w:val="0"/>
          <w:color w:val="000000"/>
          <w:sz w:val="22"/>
          <w:szCs w:val="22"/>
        </w:rPr>
        <w:t xml:space="preserve">methods. </w:t>
      </w:r>
      <w:r>
        <w:rPr>
          <w:rStyle w:val="Strong"/>
          <w:rFonts w:asciiTheme="minorHAnsi" w:hAnsiTheme="minorHAnsi" w:cs="Arial"/>
          <w:b w:val="0"/>
          <w:color w:val="000000"/>
          <w:sz w:val="22"/>
          <w:szCs w:val="22"/>
        </w:rPr>
        <w:t xml:space="preserve"> </w:t>
      </w:r>
      <w:r w:rsidR="00BC49CB">
        <w:rPr>
          <w:rStyle w:val="Strong"/>
          <w:rFonts w:asciiTheme="minorHAnsi" w:hAnsiTheme="minorHAnsi" w:cs="Arial"/>
          <w:b w:val="0"/>
          <w:color w:val="000000"/>
          <w:sz w:val="22"/>
          <w:szCs w:val="22"/>
        </w:rPr>
        <w:t>As discussed on the last Core Team call, t</w:t>
      </w:r>
      <w:r>
        <w:rPr>
          <w:rStyle w:val="Strong"/>
          <w:rFonts w:asciiTheme="minorHAnsi" w:hAnsiTheme="minorHAnsi" w:cs="Arial"/>
          <w:b w:val="0"/>
          <w:color w:val="000000"/>
          <w:sz w:val="22"/>
          <w:szCs w:val="22"/>
        </w:rPr>
        <w:t xml:space="preserve">he </w:t>
      </w:r>
      <w:r w:rsidR="006A2F9F">
        <w:rPr>
          <w:rStyle w:val="Strong"/>
          <w:rFonts w:asciiTheme="minorHAnsi" w:hAnsiTheme="minorHAnsi" w:cs="Arial"/>
          <w:b w:val="0"/>
          <w:color w:val="000000"/>
          <w:sz w:val="22"/>
          <w:szCs w:val="22"/>
        </w:rPr>
        <w:t>current</w:t>
      </w:r>
      <w:r>
        <w:rPr>
          <w:rStyle w:val="Strong"/>
          <w:rFonts w:asciiTheme="minorHAnsi" w:hAnsiTheme="minorHAnsi" w:cs="Arial"/>
          <w:b w:val="0"/>
          <w:color w:val="000000"/>
          <w:sz w:val="22"/>
          <w:szCs w:val="22"/>
        </w:rPr>
        <w:t xml:space="preserve"> document outline </w:t>
      </w:r>
      <w:r w:rsidR="00BC49CB">
        <w:rPr>
          <w:rStyle w:val="Strong"/>
          <w:rFonts w:asciiTheme="minorHAnsi" w:hAnsiTheme="minorHAnsi" w:cs="Arial"/>
          <w:b w:val="0"/>
          <w:color w:val="000000"/>
          <w:sz w:val="22"/>
          <w:szCs w:val="22"/>
        </w:rPr>
        <w:t xml:space="preserve">needs revision.  Steve Solem provided an overview of a draft outline showing where different sections of v2.0 and the supporting Technical Notes might fit within that structure.  Primary issues </w:t>
      </w:r>
      <w:r w:rsidR="00245FB4">
        <w:rPr>
          <w:rStyle w:val="Strong"/>
          <w:rFonts w:asciiTheme="minorHAnsi" w:hAnsiTheme="minorHAnsi" w:cs="Arial"/>
          <w:b w:val="0"/>
          <w:color w:val="000000"/>
          <w:sz w:val="22"/>
          <w:szCs w:val="22"/>
        </w:rPr>
        <w:t xml:space="preserve">by Technical Guide section </w:t>
      </w:r>
      <w:r w:rsidR="00BC49CB">
        <w:rPr>
          <w:rStyle w:val="Strong"/>
          <w:rFonts w:asciiTheme="minorHAnsi" w:hAnsiTheme="minorHAnsi" w:cs="Arial"/>
          <w:b w:val="0"/>
          <w:color w:val="000000"/>
          <w:sz w:val="22"/>
          <w:szCs w:val="22"/>
        </w:rPr>
        <w:t>include:</w:t>
      </w:r>
    </w:p>
    <w:p w14:paraId="75D0788E" w14:textId="45E09251" w:rsidR="00245FB4" w:rsidRDefault="00245FB4" w:rsidP="00245FB4">
      <w:pPr>
        <w:pStyle w:val="ListParagraph"/>
        <w:numPr>
          <w:ilvl w:val="0"/>
          <w:numId w:val="44"/>
        </w:numPr>
        <w:spacing w:before="240"/>
        <w:rPr>
          <w:rStyle w:val="Strong"/>
          <w:rFonts w:asciiTheme="minorHAnsi" w:hAnsiTheme="minorHAnsi" w:cs="Arial"/>
          <w:b w:val="0"/>
          <w:color w:val="000000"/>
          <w:sz w:val="22"/>
          <w:szCs w:val="22"/>
          <w:u w:val="single"/>
        </w:rPr>
      </w:pPr>
      <w:r>
        <w:rPr>
          <w:rStyle w:val="Strong"/>
          <w:rFonts w:asciiTheme="minorHAnsi" w:hAnsiTheme="minorHAnsi" w:cs="Arial"/>
          <w:b w:val="0"/>
          <w:color w:val="000000"/>
          <w:sz w:val="22"/>
          <w:szCs w:val="22"/>
          <w:u w:val="single"/>
        </w:rPr>
        <w:t>Introduction</w:t>
      </w:r>
      <w:r>
        <w:rPr>
          <w:rStyle w:val="Strong"/>
          <w:rFonts w:asciiTheme="minorHAnsi" w:hAnsiTheme="minorHAnsi" w:cs="Arial"/>
          <w:b w:val="0"/>
          <w:color w:val="000000"/>
          <w:sz w:val="22"/>
          <w:szCs w:val="22"/>
        </w:rPr>
        <w:t xml:space="preserve"> – this section is in pretty good shape</w:t>
      </w:r>
    </w:p>
    <w:p w14:paraId="72048540" w14:textId="59ADCF9A" w:rsidR="00245FB4" w:rsidRPr="00245FB4" w:rsidRDefault="00245FB4" w:rsidP="00245FB4">
      <w:pPr>
        <w:pStyle w:val="ListParagraph"/>
        <w:numPr>
          <w:ilvl w:val="0"/>
          <w:numId w:val="44"/>
        </w:numPr>
        <w:spacing w:before="240"/>
        <w:rPr>
          <w:rStyle w:val="Strong"/>
          <w:rFonts w:asciiTheme="minorHAnsi" w:hAnsiTheme="minorHAnsi" w:cs="Arial"/>
          <w:b w:val="0"/>
          <w:color w:val="000000"/>
          <w:sz w:val="22"/>
          <w:szCs w:val="22"/>
          <w:u w:val="single"/>
        </w:rPr>
      </w:pPr>
      <w:r w:rsidRPr="00245FB4">
        <w:rPr>
          <w:rStyle w:val="Strong"/>
          <w:rFonts w:asciiTheme="minorHAnsi" w:hAnsiTheme="minorHAnsi" w:cs="Arial"/>
          <w:b w:val="0"/>
          <w:color w:val="000000"/>
          <w:sz w:val="22"/>
          <w:szCs w:val="22"/>
          <w:u w:val="single"/>
        </w:rPr>
        <w:t>GDE Inventory</w:t>
      </w:r>
      <w:r w:rsidRPr="00245FB4">
        <w:rPr>
          <w:rStyle w:val="Strong"/>
          <w:rFonts w:asciiTheme="minorHAnsi" w:hAnsiTheme="minorHAnsi" w:cs="Arial"/>
          <w:b w:val="0"/>
          <w:color w:val="000000"/>
          <w:sz w:val="22"/>
          <w:szCs w:val="22"/>
        </w:rPr>
        <w:t xml:space="preserve"> – this section is in pretty good shape.</w:t>
      </w:r>
    </w:p>
    <w:p w14:paraId="3820B761" w14:textId="3278D293" w:rsidR="00E601B7" w:rsidRPr="00245FB4" w:rsidRDefault="00BC49CB" w:rsidP="00245FB4">
      <w:pPr>
        <w:pStyle w:val="ListParagraph"/>
        <w:numPr>
          <w:ilvl w:val="0"/>
          <w:numId w:val="44"/>
        </w:numPr>
        <w:spacing w:before="240"/>
        <w:rPr>
          <w:rStyle w:val="Strong"/>
          <w:rFonts w:asciiTheme="minorHAnsi" w:hAnsiTheme="minorHAnsi" w:cs="Arial"/>
          <w:b w:val="0"/>
          <w:color w:val="000000"/>
          <w:sz w:val="22"/>
          <w:szCs w:val="22"/>
        </w:rPr>
      </w:pPr>
      <w:r w:rsidRPr="00245FB4">
        <w:rPr>
          <w:rStyle w:val="Strong"/>
          <w:rFonts w:asciiTheme="minorHAnsi" w:hAnsiTheme="minorHAnsi" w:cs="Arial"/>
          <w:b w:val="0"/>
          <w:color w:val="000000"/>
          <w:sz w:val="22"/>
          <w:szCs w:val="22"/>
          <w:u w:val="single"/>
        </w:rPr>
        <w:t>GDE Monitoring</w:t>
      </w:r>
      <w:r w:rsidR="00E601B7" w:rsidRPr="00245FB4">
        <w:rPr>
          <w:rStyle w:val="Strong"/>
          <w:rFonts w:asciiTheme="minorHAnsi" w:hAnsiTheme="minorHAnsi" w:cs="Arial"/>
          <w:b w:val="0"/>
          <w:color w:val="000000"/>
          <w:sz w:val="22"/>
          <w:szCs w:val="22"/>
        </w:rPr>
        <w:t xml:space="preserve"> </w:t>
      </w:r>
      <w:r w:rsidRPr="00245FB4">
        <w:rPr>
          <w:rStyle w:val="Strong"/>
          <w:rFonts w:asciiTheme="minorHAnsi" w:hAnsiTheme="minorHAnsi" w:cs="Arial"/>
          <w:b w:val="0"/>
          <w:color w:val="000000"/>
          <w:sz w:val="22"/>
          <w:szCs w:val="22"/>
        </w:rPr>
        <w:t>–</w:t>
      </w:r>
      <w:r w:rsidR="00E601B7" w:rsidRPr="00245FB4">
        <w:rPr>
          <w:rStyle w:val="Strong"/>
          <w:rFonts w:asciiTheme="minorHAnsi" w:hAnsiTheme="minorHAnsi" w:cs="Arial"/>
          <w:b w:val="0"/>
          <w:color w:val="000000"/>
          <w:sz w:val="22"/>
          <w:szCs w:val="22"/>
        </w:rPr>
        <w:t xml:space="preserve"> </w:t>
      </w:r>
      <w:r w:rsidRPr="00245FB4">
        <w:rPr>
          <w:rStyle w:val="Strong"/>
          <w:rFonts w:asciiTheme="minorHAnsi" w:hAnsiTheme="minorHAnsi" w:cs="Arial"/>
          <w:b w:val="0"/>
          <w:color w:val="000000"/>
          <w:sz w:val="22"/>
          <w:szCs w:val="22"/>
        </w:rPr>
        <w:t xml:space="preserve">Work on the GDE Inventory Field Guides deliberately focused on inventory, with few references to monitoring.  Level II can be designed to serve as a basis for monitoring </w:t>
      </w:r>
      <w:r w:rsidRPr="00245FB4">
        <w:rPr>
          <w:rStyle w:val="Strong"/>
          <w:rFonts w:asciiTheme="minorHAnsi" w:hAnsiTheme="minorHAnsi" w:cs="Arial"/>
          <w:b w:val="0"/>
          <w:color w:val="000000"/>
          <w:sz w:val="22"/>
          <w:szCs w:val="22"/>
        </w:rPr>
        <w:lastRenderedPageBreak/>
        <w:t xml:space="preserve">(e.g., the </w:t>
      </w:r>
      <w:proofErr w:type="spellStart"/>
      <w:r w:rsidRPr="00245FB4">
        <w:rPr>
          <w:rStyle w:val="Strong"/>
          <w:rFonts w:asciiTheme="minorHAnsi" w:hAnsiTheme="minorHAnsi" w:cs="Arial"/>
          <w:b w:val="0"/>
          <w:color w:val="000000"/>
          <w:sz w:val="22"/>
          <w:szCs w:val="22"/>
        </w:rPr>
        <w:t>Montanore</w:t>
      </w:r>
      <w:proofErr w:type="spellEnd"/>
      <w:r w:rsidRPr="00245FB4">
        <w:rPr>
          <w:rStyle w:val="Strong"/>
          <w:rFonts w:asciiTheme="minorHAnsi" w:hAnsiTheme="minorHAnsi" w:cs="Arial"/>
          <w:b w:val="0"/>
          <w:color w:val="000000"/>
          <w:sz w:val="22"/>
          <w:szCs w:val="22"/>
        </w:rPr>
        <w:t xml:space="preserve"> Mine case study).  Environmental Flows and Levels could also be described as a monitoring component.  At this time we lots of information on groundwater monitoring, but virtually nothing on GDE monitoring.</w:t>
      </w:r>
    </w:p>
    <w:p w14:paraId="16E769DC" w14:textId="3936A780" w:rsidR="00245FB4" w:rsidRPr="00245FB4" w:rsidRDefault="00245FB4" w:rsidP="00245FB4">
      <w:pPr>
        <w:pStyle w:val="ListParagraph"/>
        <w:numPr>
          <w:ilvl w:val="0"/>
          <w:numId w:val="44"/>
        </w:numPr>
        <w:spacing w:before="240"/>
        <w:rPr>
          <w:rStyle w:val="Strong"/>
          <w:rFonts w:asciiTheme="minorHAnsi" w:hAnsiTheme="minorHAnsi" w:cs="Arial"/>
          <w:b w:val="0"/>
          <w:color w:val="000000"/>
          <w:sz w:val="22"/>
          <w:szCs w:val="22"/>
        </w:rPr>
      </w:pPr>
      <w:r w:rsidRPr="00245FB4">
        <w:rPr>
          <w:rStyle w:val="Strong"/>
          <w:rFonts w:asciiTheme="minorHAnsi" w:hAnsiTheme="minorHAnsi" w:cs="Arial"/>
          <w:b w:val="0"/>
          <w:color w:val="000000"/>
          <w:sz w:val="22"/>
          <w:szCs w:val="22"/>
          <w:u w:val="single"/>
        </w:rPr>
        <w:t>GW Inventory</w:t>
      </w:r>
      <w:r w:rsidRPr="00245FB4">
        <w:rPr>
          <w:rStyle w:val="Strong"/>
          <w:rFonts w:asciiTheme="minorHAnsi" w:hAnsiTheme="minorHAnsi" w:cs="Arial"/>
          <w:b w:val="0"/>
          <w:color w:val="000000"/>
          <w:sz w:val="22"/>
          <w:szCs w:val="22"/>
        </w:rPr>
        <w:t xml:space="preserve"> – Currently this section has some analysis/assessment information included tha</w:t>
      </w:r>
      <w:r>
        <w:rPr>
          <w:rStyle w:val="Strong"/>
          <w:rFonts w:asciiTheme="minorHAnsi" w:hAnsiTheme="minorHAnsi" w:cs="Arial"/>
          <w:b w:val="0"/>
          <w:color w:val="000000"/>
          <w:sz w:val="22"/>
          <w:szCs w:val="22"/>
        </w:rPr>
        <w:t>t could move to the new Section on Analysis/Assessment.</w:t>
      </w:r>
    </w:p>
    <w:p w14:paraId="16B13D6A" w14:textId="77777777" w:rsidR="00245FB4" w:rsidRPr="00245FB4" w:rsidRDefault="00245FB4" w:rsidP="00245FB4">
      <w:pPr>
        <w:pStyle w:val="ListParagraph"/>
        <w:numPr>
          <w:ilvl w:val="0"/>
          <w:numId w:val="44"/>
        </w:numPr>
        <w:spacing w:before="240"/>
        <w:rPr>
          <w:rStyle w:val="Strong"/>
          <w:rFonts w:asciiTheme="minorHAnsi" w:hAnsiTheme="minorHAnsi" w:cs="Arial"/>
          <w:b w:val="0"/>
          <w:color w:val="000000"/>
          <w:sz w:val="22"/>
          <w:szCs w:val="22"/>
          <w:u w:val="single"/>
        </w:rPr>
      </w:pPr>
      <w:r w:rsidRPr="00245FB4">
        <w:rPr>
          <w:rStyle w:val="Strong"/>
          <w:rFonts w:asciiTheme="minorHAnsi" w:hAnsiTheme="minorHAnsi" w:cs="Arial"/>
          <w:b w:val="0"/>
          <w:color w:val="000000"/>
          <w:sz w:val="22"/>
          <w:szCs w:val="22"/>
          <w:u w:val="single"/>
        </w:rPr>
        <w:t>GW Monitoring</w:t>
      </w:r>
      <w:r>
        <w:rPr>
          <w:rStyle w:val="Strong"/>
          <w:rFonts w:asciiTheme="minorHAnsi" w:hAnsiTheme="minorHAnsi" w:cs="Arial"/>
          <w:b w:val="0"/>
          <w:color w:val="000000"/>
          <w:sz w:val="22"/>
          <w:szCs w:val="22"/>
        </w:rPr>
        <w:t xml:space="preserve"> – This section is in pretty good shape, just minor reorganization of the content.</w:t>
      </w:r>
    </w:p>
    <w:p w14:paraId="2E737AC2" w14:textId="00C4A51B" w:rsidR="00245FB4" w:rsidRPr="00245FB4" w:rsidRDefault="00245FB4" w:rsidP="00245FB4">
      <w:pPr>
        <w:pStyle w:val="ListParagraph"/>
        <w:numPr>
          <w:ilvl w:val="0"/>
          <w:numId w:val="44"/>
        </w:numPr>
        <w:spacing w:before="240"/>
        <w:rPr>
          <w:rStyle w:val="Strong"/>
          <w:rFonts w:asciiTheme="minorHAnsi" w:hAnsiTheme="minorHAnsi" w:cs="Arial"/>
          <w:b w:val="0"/>
          <w:color w:val="000000"/>
          <w:sz w:val="22"/>
          <w:szCs w:val="22"/>
          <w:u w:val="single"/>
        </w:rPr>
      </w:pPr>
      <w:r w:rsidRPr="00245FB4">
        <w:rPr>
          <w:rStyle w:val="Strong"/>
          <w:rFonts w:asciiTheme="minorHAnsi" w:hAnsiTheme="minorHAnsi" w:cs="Arial"/>
          <w:b w:val="0"/>
          <w:color w:val="000000"/>
          <w:sz w:val="22"/>
          <w:szCs w:val="22"/>
          <w:u w:val="single"/>
        </w:rPr>
        <w:t xml:space="preserve">GW/GDE </w:t>
      </w:r>
      <w:r w:rsidR="00BC49CB" w:rsidRPr="00245FB4">
        <w:rPr>
          <w:rStyle w:val="Strong"/>
          <w:rFonts w:asciiTheme="minorHAnsi" w:hAnsiTheme="minorHAnsi" w:cs="Arial"/>
          <w:b w:val="0"/>
          <w:color w:val="000000"/>
          <w:sz w:val="22"/>
          <w:szCs w:val="22"/>
          <w:u w:val="single"/>
        </w:rPr>
        <w:t>Analysis/Assessment</w:t>
      </w:r>
      <w:r w:rsidR="00E601B7" w:rsidRPr="00245FB4">
        <w:rPr>
          <w:rStyle w:val="Strong"/>
          <w:rFonts w:asciiTheme="minorHAnsi" w:hAnsiTheme="minorHAnsi" w:cs="Arial"/>
          <w:b w:val="0"/>
          <w:color w:val="000000"/>
          <w:sz w:val="22"/>
          <w:szCs w:val="22"/>
          <w:u w:val="single"/>
        </w:rPr>
        <w:t xml:space="preserve"> </w:t>
      </w:r>
      <w:r w:rsidR="00E601B7" w:rsidRPr="00245FB4">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Content from the GW inventory section will flesh this out, but there is little to no information on GDEs.</w:t>
      </w:r>
    </w:p>
    <w:p w14:paraId="44B71B69" w14:textId="77777777" w:rsidR="006D5542" w:rsidRDefault="00D6296C" w:rsidP="006D5542">
      <w:pPr>
        <w:spacing w:before="24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Several Core Team members had questions regarding the </w:t>
      </w:r>
      <w:r w:rsidR="006D5542">
        <w:rPr>
          <w:rStyle w:val="Strong"/>
          <w:rFonts w:asciiTheme="minorHAnsi" w:hAnsiTheme="minorHAnsi" w:cs="Arial"/>
          <w:b w:val="0"/>
          <w:color w:val="000000"/>
          <w:sz w:val="22"/>
          <w:szCs w:val="22"/>
        </w:rPr>
        <w:t>proposed outline but supportive of the overall concept.  Steve stressed that the common outline between sections needed revision based on discussions he was having with the Existing Vegetation Mapping, Classification and Inventory team on their Technical Guide revision.  The general flow of activities should be:</w:t>
      </w:r>
    </w:p>
    <w:p w14:paraId="64F3C225" w14:textId="09B8A954" w:rsidR="00245FB4" w:rsidRDefault="006D5542" w:rsidP="006D5542">
      <w:pPr>
        <w:spacing w:before="240"/>
        <w:ind w:left="72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Introduction </w:t>
      </w:r>
      <w:r w:rsidRPr="006D5542">
        <w:rPr>
          <w:rStyle w:val="Strong"/>
          <w:rFonts w:asciiTheme="minorHAnsi" w:hAnsiTheme="minorHAnsi" w:cs="Arial"/>
          <w:b w:val="0"/>
          <w:color w:val="000000"/>
          <w:sz w:val="22"/>
          <w:szCs w:val="22"/>
        </w:rPr>
        <w:sym w:font="Wingdings" w:char="F0E0"/>
      </w:r>
      <w:r>
        <w:rPr>
          <w:rStyle w:val="Strong"/>
          <w:rFonts w:asciiTheme="minorHAnsi" w:hAnsiTheme="minorHAnsi" w:cs="Arial"/>
          <w:b w:val="0"/>
          <w:color w:val="000000"/>
          <w:sz w:val="22"/>
          <w:szCs w:val="22"/>
        </w:rPr>
        <w:t xml:space="preserve">Planning and Design </w:t>
      </w:r>
      <w:r w:rsidRPr="006D5542">
        <w:rPr>
          <w:rStyle w:val="Strong"/>
          <w:rFonts w:asciiTheme="minorHAnsi" w:hAnsiTheme="minorHAnsi" w:cs="Arial"/>
          <w:b w:val="0"/>
          <w:color w:val="000000"/>
          <w:sz w:val="22"/>
          <w:szCs w:val="22"/>
        </w:rPr>
        <w:sym w:font="Wingdings" w:char="F0E0"/>
      </w:r>
      <w:r>
        <w:rPr>
          <w:rStyle w:val="Strong"/>
          <w:rFonts w:asciiTheme="minorHAnsi" w:hAnsiTheme="minorHAnsi" w:cs="Arial"/>
          <w:b w:val="0"/>
          <w:color w:val="000000"/>
          <w:sz w:val="22"/>
          <w:szCs w:val="22"/>
        </w:rPr>
        <w:t>Methods</w:t>
      </w:r>
      <w:r w:rsidRPr="006D5542">
        <w:rPr>
          <w:rStyle w:val="Strong"/>
          <w:rFonts w:asciiTheme="minorHAnsi" w:hAnsiTheme="minorHAnsi" w:cs="Arial"/>
          <w:b w:val="0"/>
          <w:color w:val="000000"/>
          <w:sz w:val="22"/>
          <w:szCs w:val="22"/>
        </w:rPr>
        <w:sym w:font="Wingdings" w:char="F0E0"/>
      </w:r>
      <w:r>
        <w:rPr>
          <w:rStyle w:val="Strong"/>
          <w:rFonts w:asciiTheme="minorHAnsi" w:hAnsiTheme="minorHAnsi" w:cs="Arial"/>
          <w:b w:val="0"/>
          <w:color w:val="000000"/>
          <w:sz w:val="22"/>
          <w:szCs w:val="22"/>
        </w:rPr>
        <w:t>Data Products and Application/Use</w:t>
      </w:r>
    </w:p>
    <w:p w14:paraId="7B9BB4C2" w14:textId="604CDFD9" w:rsidR="006D5542" w:rsidRDefault="006D5542" w:rsidP="006D5542">
      <w:pPr>
        <w:spacing w:before="24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Group discussion also centered on how groundwater could be better integrated with and support Forest Planning and there were suggestions on how that could be dealt with in different sections.</w:t>
      </w:r>
    </w:p>
    <w:p w14:paraId="455DCD9A" w14:textId="77E6AEDF" w:rsidR="006D5542" w:rsidRPr="006D5542" w:rsidRDefault="006D5542" w:rsidP="006D5542">
      <w:pPr>
        <w:spacing w:before="240"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also suggested collapsing the GDE inventory and monitoring sections into one section.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80"/>
        <w:gridCol w:w="8208"/>
      </w:tblGrid>
      <w:tr w:rsidR="00CC69E6" w:rsidRPr="00302229" w14:paraId="35E92F02" w14:textId="77777777" w:rsidTr="00CC69E6">
        <w:tc>
          <w:tcPr>
            <w:tcW w:w="1080" w:type="dxa"/>
            <w:shd w:val="clear" w:color="auto" w:fill="DBE5F1" w:themeFill="accent1" w:themeFillTint="33"/>
          </w:tcPr>
          <w:p w14:paraId="609DD8C0" w14:textId="77777777" w:rsidR="00CC69E6" w:rsidRPr="00302229" w:rsidRDefault="00CC69E6" w:rsidP="00F71445">
            <w:pPr>
              <w:spacing w:after="240"/>
              <w:ind w:left="44"/>
              <w:rPr>
                <w:rStyle w:val="Strong"/>
                <w:rFonts w:asciiTheme="minorHAnsi" w:hAnsiTheme="minorHAnsi" w:cs="Arial"/>
                <w:color w:val="000000"/>
                <w:sz w:val="22"/>
                <w:szCs w:val="22"/>
              </w:rPr>
            </w:pPr>
            <w:r w:rsidRPr="00302229">
              <w:rPr>
                <w:rStyle w:val="Strong"/>
                <w:rFonts w:asciiTheme="minorHAnsi" w:hAnsiTheme="minorHAnsi" w:cs="Arial"/>
                <w:color w:val="000000"/>
                <w:sz w:val="22"/>
                <w:szCs w:val="22"/>
              </w:rPr>
              <w:t xml:space="preserve">Action: </w:t>
            </w:r>
          </w:p>
        </w:tc>
        <w:tc>
          <w:tcPr>
            <w:tcW w:w="8208" w:type="dxa"/>
            <w:shd w:val="clear" w:color="auto" w:fill="DBE5F1" w:themeFill="accent1" w:themeFillTint="33"/>
          </w:tcPr>
          <w:p w14:paraId="4004DCAE" w14:textId="537EC2DE" w:rsidR="006E438D" w:rsidRDefault="006E438D" w:rsidP="00CC69E6">
            <w:pPr>
              <w:pStyle w:val="ListParagraph"/>
              <w:numPr>
                <w:ilvl w:val="0"/>
                <w:numId w:val="30"/>
              </w:numPr>
              <w:ind w:left="162" w:hanging="288"/>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CT Review Comments to see if they have any issues that should not be made</w:t>
            </w:r>
            <w:r w:rsidR="00CE78CA">
              <w:rPr>
                <w:rStyle w:val="Strong"/>
                <w:rFonts w:asciiTheme="minorHAnsi" w:hAnsiTheme="minorHAnsi" w:cs="Arial"/>
                <w:b w:val="0"/>
                <w:color w:val="000000"/>
                <w:sz w:val="22"/>
                <w:szCs w:val="22"/>
              </w:rPr>
              <w:t xml:space="preserve"> to Steve Solem by 6/29</w:t>
            </w:r>
            <w:r>
              <w:rPr>
                <w:rStyle w:val="Strong"/>
                <w:rFonts w:asciiTheme="minorHAnsi" w:hAnsiTheme="minorHAnsi" w:cs="Arial"/>
                <w:b w:val="0"/>
                <w:color w:val="000000"/>
                <w:sz w:val="22"/>
                <w:szCs w:val="22"/>
              </w:rPr>
              <w:t>.</w:t>
            </w:r>
          </w:p>
          <w:p w14:paraId="22912946" w14:textId="67AE2700" w:rsidR="00CC69E6" w:rsidRPr="00CC69E6" w:rsidRDefault="00063758" w:rsidP="00CC69E6">
            <w:pPr>
              <w:pStyle w:val="ListParagraph"/>
              <w:numPr>
                <w:ilvl w:val="0"/>
                <w:numId w:val="30"/>
              </w:numPr>
              <w:ind w:left="162" w:hanging="288"/>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New Outline proposal and CT comment by mid-July</w:t>
            </w:r>
          </w:p>
        </w:tc>
      </w:tr>
    </w:tbl>
    <w:p w14:paraId="21AD25AA" w14:textId="0DBE86C5" w:rsidR="0067232A" w:rsidRDefault="0001064E" w:rsidP="0001064E">
      <w:pPr>
        <w:spacing w:before="200" w:after="200"/>
        <w:ind w:left="158"/>
        <w:rPr>
          <w:rStyle w:val="Strong"/>
          <w:rFonts w:asciiTheme="minorHAnsi" w:hAnsiTheme="minorHAnsi" w:cs="Arial"/>
          <w:b w:val="0"/>
          <w:color w:val="000000"/>
          <w:sz w:val="22"/>
          <w:szCs w:val="22"/>
        </w:rPr>
      </w:pPr>
      <w:r w:rsidRPr="0001064E">
        <w:rPr>
          <w:rStyle w:val="Strong"/>
          <w:rFonts w:asciiTheme="minorHAnsi" w:hAnsiTheme="minorHAnsi" w:cs="Arial"/>
          <w:b w:val="0"/>
          <w:color w:val="000000"/>
          <w:sz w:val="22"/>
          <w:szCs w:val="22"/>
          <w:u w:val="single"/>
        </w:rPr>
        <w:t>Technical Review Group Status</w:t>
      </w:r>
      <w:r>
        <w:rPr>
          <w:rStyle w:val="Strong"/>
          <w:rFonts w:asciiTheme="minorHAnsi" w:hAnsiTheme="minorHAnsi" w:cs="Arial"/>
          <w:b w:val="0"/>
          <w:color w:val="000000"/>
          <w:sz w:val="22"/>
          <w:szCs w:val="22"/>
        </w:rPr>
        <w:t xml:space="preserve"> </w:t>
      </w:r>
      <w:r w:rsidR="00C818D6">
        <w:rPr>
          <w:rStyle w:val="Strong"/>
          <w:rFonts w:asciiTheme="minorHAnsi" w:hAnsiTheme="minorHAnsi" w:cs="Arial"/>
          <w:b w:val="0"/>
          <w:color w:val="000000"/>
          <w:sz w:val="22"/>
          <w:szCs w:val="22"/>
        </w:rPr>
        <w:t xml:space="preserve">– </w:t>
      </w:r>
      <w:r w:rsidR="006D5542">
        <w:rPr>
          <w:rStyle w:val="Strong"/>
          <w:rFonts w:asciiTheme="minorHAnsi" w:hAnsiTheme="minorHAnsi" w:cs="Arial"/>
          <w:b w:val="0"/>
          <w:color w:val="000000"/>
          <w:sz w:val="22"/>
          <w:szCs w:val="22"/>
        </w:rPr>
        <w:t>Joe is actively working on recruitment and securing technical reviewers.  A progress report will be sent to the Core Team since Joe wasn’t able to participate in the call.</w:t>
      </w:r>
    </w:p>
    <w:p w14:paraId="3B67C3FC" w14:textId="6DA9A13F" w:rsidR="0067232A" w:rsidRPr="0067232A" w:rsidRDefault="00BC49CB" w:rsidP="00BC49CB">
      <w:pPr>
        <w:spacing w:after="240"/>
        <w:ind w:left="162"/>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Steve stressed that we still need to make sure our list of partners/affiliate reviewers is complete. </w:t>
      </w:r>
      <w:r w:rsidR="0067232A">
        <w:rPr>
          <w:rStyle w:val="Strong"/>
          <w:rFonts w:asciiTheme="minorHAnsi" w:hAnsiTheme="minorHAnsi" w:cs="Arial"/>
          <w:b w:val="0"/>
          <w:color w:val="000000"/>
          <w:sz w:val="22"/>
          <w:szCs w:val="22"/>
        </w:rPr>
        <w:t>All partner and affiliate reviewers will be provided an oppor</w:t>
      </w:r>
      <w:r>
        <w:rPr>
          <w:rStyle w:val="Strong"/>
          <w:rFonts w:asciiTheme="minorHAnsi" w:hAnsiTheme="minorHAnsi" w:cs="Arial"/>
          <w:b w:val="0"/>
          <w:color w:val="000000"/>
          <w:sz w:val="22"/>
          <w:szCs w:val="22"/>
        </w:rPr>
        <w:t>tunity to comment on the draft.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80"/>
        <w:gridCol w:w="8208"/>
      </w:tblGrid>
      <w:tr w:rsidR="00EF709A" w:rsidRPr="00302229" w14:paraId="74BF6DF2" w14:textId="77777777" w:rsidTr="002412CC">
        <w:tc>
          <w:tcPr>
            <w:tcW w:w="1080" w:type="dxa"/>
            <w:shd w:val="clear" w:color="auto" w:fill="DBE5F1" w:themeFill="accent1" w:themeFillTint="33"/>
          </w:tcPr>
          <w:p w14:paraId="111B2B56" w14:textId="77777777" w:rsidR="00EF709A" w:rsidRPr="00302229" w:rsidRDefault="00EF709A" w:rsidP="002412CC">
            <w:pPr>
              <w:spacing w:after="240"/>
              <w:rPr>
                <w:rStyle w:val="Strong"/>
                <w:rFonts w:asciiTheme="minorHAnsi" w:hAnsiTheme="minorHAnsi" w:cs="Arial"/>
                <w:color w:val="000000"/>
                <w:sz w:val="22"/>
                <w:szCs w:val="22"/>
              </w:rPr>
            </w:pPr>
            <w:r w:rsidRPr="00302229">
              <w:rPr>
                <w:rStyle w:val="Strong"/>
                <w:rFonts w:asciiTheme="minorHAnsi" w:hAnsiTheme="minorHAnsi" w:cs="Arial"/>
                <w:color w:val="000000"/>
                <w:sz w:val="22"/>
                <w:szCs w:val="22"/>
              </w:rPr>
              <w:t xml:space="preserve">Action: </w:t>
            </w:r>
          </w:p>
        </w:tc>
        <w:tc>
          <w:tcPr>
            <w:tcW w:w="8208" w:type="dxa"/>
            <w:shd w:val="clear" w:color="auto" w:fill="DBE5F1" w:themeFill="accent1" w:themeFillTint="33"/>
          </w:tcPr>
          <w:p w14:paraId="1F1B0870" w14:textId="77777777" w:rsidR="00063758" w:rsidRDefault="00063758" w:rsidP="00CC69E6">
            <w:pPr>
              <w:pStyle w:val="ListParagraph"/>
              <w:numPr>
                <w:ilvl w:val="0"/>
                <w:numId w:val="30"/>
              </w:numPr>
              <w:ind w:left="162" w:hanging="27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Joe will send out current roster and keep the CT posted.</w:t>
            </w:r>
          </w:p>
          <w:p w14:paraId="51A652B3" w14:textId="629428FC" w:rsidR="000E3B96" w:rsidRPr="00CC69E6" w:rsidRDefault="00302229" w:rsidP="00CC69E6">
            <w:pPr>
              <w:pStyle w:val="ListParagraph"/>
              <w:numPr>
                <w:ilvl w:val="0"/>
                <w:numId w:val="30"/>
              </w:numPr>
              <w:ind w:left="162" w:hanging="270"/>
              <w:rPr>
                <w:rStyle w:val="Strong"/>
                <w:rFonts w:asciiTheme="minorHAnsi" w:hAnsiTheme="minorHAnsi" w:cs="Arial"/>
                <w:b w:val="0"/>
                <w:color w:val="000000"/>
                <w:sz w:val="22"/>
                <w:szCs w:val="22"/>
              </w:rPr>
            </w:pPr>
            <w:r w:rsidRPr="00302229">
              <w:rPr>
                <w:rStyle w:val="Strong"/>
                <w:rFonts w:asciiTheme="minorHAnsi" w:hAnsiTheme="minorHAnsi" w:cs="Arial"/>
                <w:b w:val="0"/>
                <w:color w:val="000000"/>
                <w:sz w:val="22"/>
                <w:szCs w:val="22"/>
              </w:rPr>
              <w:t>Core Team members should</w:t>
            </w:r>
            <w:r w:rsidR="0067232A">
              <w:rPr>
                <w:rStyle w:val="Strong"/>
                <w:rFonts w:asciiTheme="minorHAnsi" w:hAnsiTheme="minorHAnsi" w:cs="Arial"/>
                <w:b w:val="0"/>
                <w:color w:val="000000"/>
                <w:sz w:val="22"/>
                <w:szCs w:val="22"/>
              </w:rPr>
              <w:t xml:space="preserve"> provide suggestions regarding individuals who should be considered as potential reviewers</w:t>
            </w:r>
            <w:r w:rsidR="00CC69E6">
              <w:rPr>
                <w:rStyle w:val="Strong"/>
                <w:rFonts w:asciiTheme="minorHAnsi" w:hAnsiTheme="minorHAnsi" w:cs="Arial"/>
                <w:b w:val="0"/>
                <w:color w:val="000000"/>
                <w:sz w:val="22"/>
                <w:szCs w:val="22"/>
              </w:rPr>
              <w:t xml:space="preserve"> and provide that information to Joe and Steve.</w:t>
            </w:r>
          </w:p>
        </w:tc>
      </w:tr>
    </w:tbl>
    <w:p w14:paraId="6EE9E3B5" w14:textId="6B1F7791" w:rsidR="00545908" w:rsidRPr="00545908" w:rsidRDefault="00E601B7" w:rsidP="00302229">
      <w:pPr>
        <w:pStyle w:val="ListParagraph"/>
        <w:numPr>
          <w:ilvl w:val="0"/>
          <w:numId w:val="28"/>
        </w:numPr>
        <w:spacing w:before="240" w:after="240"/>
        <w:rPr>
          <w:rStyle w:val="Strong"/>
          <w:rFonts w:asciiTheme="minorHAnsi" w:hAnsiTheme="minorHAnsi" w:cs="Arial"/>
          <w:color w:val="000000"/>
          <w:sz w:val="22"/>
          <w:szCs w:val="22"/>
        </w:rPr>
      </w:pPr>
      <w:r>
        <w:rPr>
          <w:rStyle w:val="Strong"/>
          <w:rFonts w:asciiTheme="minorHAnsi" w:hAnsiTheme="minorHAnsi" w:cs="Arial"/>
          <w:color w:val="000000"/>
          <w:sz w:val="22"/>
          <w:szCs w:val="22"/>
        </w:rPr>
        <w:t>Environmental Flows/Levels</w:t>
      </w:r>
      <w:r w:rsidR="00245FB4">
        <w:rPr>
          <w:rStyle w:val="Strong"/>
          <w:rFonts w:asciiTheme="minorHAnsi" w:hAnsiTheme="minorHAnsi" w:cs="Arial"/>
          <w:color w:val="000000"/>
          <w:sz w:val="22"/>
          <w:szCs w:val="22"/>
        </w:rPr>
        <w:t xml:space="preserve"> Pilot Test Update</w:t>
      </w:r>
    </w:p>
    <w:p w14:paraId="00B5AA27" w14:textId="382F18C1" w:rsidR="00E601B7" w:rsidRPr="00CF4AA9" w:rsidRDefault="00245FB4" w:rsidP="0040047C">
      <w:pPr>
        <w:spacing w:before="240" w:after="240"/>
        <w:rPr>
          <w:rStyle w:val="Strong"/>
          <w:rFonts w:asciiTheme="minorHAnsi" w:hAnsiTheme="minorHAnsi"/>
          <w:b w:val="0"/>
          <w:bCs w:val="0"/>
          <w:sz w:val="22"/>
          <w:szCs w:val="22"/>
        </w:rPr>
      </w:pPr>
      <w:r>
        <w:rPr>
          <w:rFonts w:asciiTheme="minorHAnsi" w:hAnsiTheme="minorHAnsi"/>
          <w:sz w:val="22"/>
          <w:szCs w:val="22"/>
        </w:rPr>
        <w:t>Allison Aldous</w:t>
      </w:r>
      <w:r w:rsidR="00FD6B9D">
        <w:rPr>
          <w:rFonts w:asciiTheme="minorHAnsi" w:hAnsiTheme="minorHAnsi"/>
          <w:sz w:val="22"/>
          <w:szCs w:val="22"/>
        </w:rPr>
        <w:t xml:space="preserve"> provided the following overview of </w:t>
      </w:r>
      <w:r>
        <w:rPr>
          <w:rFonts w:asciiTheme="minorHAnsi" w:hAnsiTheme="minorHAnsi"/>
          <w:sz w:val="22"/>
          <w:szCs w:val="22"/>
        </w:rPr>
        <w:t>the pilot tests</w:t>
      </w:r>
      <w:r w:rsidR="00FD6B9D">
        <w:rPr>
          <w:rFonts w:asciiTheme="minorHAnsi" w:hAnsiTheme="minorHAnsi"/>
          <w:sz w:val="22"/>
          <w:szCs w:val="22"/>
        </w:rPr>
        <w:t>:</w:t>
      </w:r>
    </w:p>
    <w:p w14:paraId="46DA1EA9" w14:textId="39558E8E" w:rsidR="00556E7B" w:rsidRDefault="006D5542" w:rsidP="00F71445">
      <w:pPr>
        <w:tabs>
          <w:tab w:val="left" w:pos="180"/>
        </w:tabs>
        <w:spacing w:after="240"/>
        <w:ind w:left="180"/>
        <w:rPr>
          <w:rFonts w:asciiTheme="minorHAnsi" w:hAnsiTheme="minorHAnsi"/>
          <w:sz w:val="22"/>
          <w:szCs w:val="22"/>
        </w:rPr>
      </w:pPr>
      <w:r>
        <w:rPr>
          <w:rStyle w:val="Strong"/>
          <w:rFonts w:asciiTheme="minorHAnsi" w:hAnsiTheme="minorHAnsi" w:cs="Arial"/>
          <w:b w:val="0"/>
          <w:color w:val="000000"/>
          <w:sz w:val="22"/>
          <w:szCs w:val="22"/>
          <w:u w:val="single"/>
        </w:rPr>
        <w:t>Sheyenne NG/North Dakota</w:t>
      </w:r>
      <w:r w:rsidR="00E601B7">
        <w:rPr>
          <w:rStyle w:val="Strong"/>
          <w:rFonts w:asciiTheme="minorHAnsi" w:hAnsiTheme="minorHAnsi" w:cs="Arial"/>
          <w:b w:val="0"/>
          <w:color w:val="000000"/>
          <w:sz w:val="22"/>
          <w:szCs w:val="22"/>
        </w:rPr>
        <w:t xml:space="preserve"> –</w:t>
      </w:r>
      <w:r>
        <w:t xml:space="preserve"> </w:t>
      </w:r>
      <w:r w:rsidR="00FD6B9D">
        <w:rPr>
          <w:rFonts w:asciiTheme="minorHAnsi" w:hAnsiTheme="minorHAnsi"/>
          <w:sz w:val="22"/>
          <w:szCs w:val="22"/>
        </w:rPr>
        <w:t xml:space="preserve">The Sheyenne National Grassland has been selected for </w:t>
      </w:r>
      <w:r w:rsidR="00F82E7B">
        <w:rPr>
          <w:rFonts w:asciiTheme="minorHAnsi" w:hAnsiTheme="minorHAnsi"/>
          <w:sz w:val="22"/>
          <w:szCs w:val="22"/>
        </w:rPr>
        <w:t>the first Phase II pilot site</w:t>
      </w:r>
      <w:r w:rsidR="00556E7B">
        <w:rPr>
          <w:rFonts w:asciiTheme="minorHAnsi" w:hAnsiTheme="minorHAnsi"/>
          <w:sz w:val="22"/>
          <w:szCs w:val="22"/>
        </w:rPr>
        <w:t xml:space="preserve">, starting in </w:t>
      </w:r>
      <w:r w:rsidR="00F82E7B">
        <w:rPr>
          <w:rFonts w:asciiTheme="minorHAnsi" w:hAnsiTheme="minorHAnsi"/>
          <w:sz w:val="22"/>
          <w:szCs w:val="22"/>
        </w:rPr>
        <w:t>April</w:t>
      </w:r>
      <w:r w:rsidR="00556E7B">
        <w:rPr>
          <w:rFonts w:asciiTheme="minorHAnsi" w:hAnsiTheme="minorHAnsi"/>
          <w:sz w:val="22"/>
          <w:szCs w:val="22"/>
        </w:rPr>
        <w:t xml:space="preserve"> 2012</w:t>
      </w:r>
      <w:r w:rsidR="00F82E7B">
        <w:rPr>
          <w:rFonts w:asciiTheme="minorHAnsi" w:hAnsiTheme="minorHAnsi"/>
          <w:sz w:val="22"/>
          <w:szCs w:val="22"/>
        </w:rPr>
        <w:t>. It</w:t>
      </w:r>
      <w:r w:rsidR="00FD6B9D">
        <w:rPr>
          <w:rFonts w:asciiTheme="minorHAnsi" w:hAnsiTheme="minorHAnsi"/>
          <w:sz w:val="22"/>
          <w:szCs w:val="22"/>
        </w:rPr>
        <w:t xml:space="preserve"> provides a unique set of circumstances for testing the </w:t>
      </w:r>
      <w:r w:rsidR="00F82E7B">
        <w:rPr>
          <w:rFonts w:asciiTheme="minorHAnsi" w:hAnsiTheme="minorHAnsi"/>
          <w:sz w:val="22"/>
          <w:szCs w:val="22"/>
        </w:rPr>
        <w:t xml:space="preserve">EF/L </w:t>
      </w:r>
      <w:r w:rsidR="00FD6B9D">
        <w:rPr>
          <w:rFonts w:asciiTheme="minorHAnsi" w:hAnsiTheme="minorHAnsi"/>
          <w:sz w:val="22"/>
          <w:szCs w:val="22"/>
        </w:rPr>
        <w:t>framework and analysis methods.</w:t>
      </w:r>
      <w:r w:rsidR="00D20F33">
        <w:rPr>
          <w:rFonts w:asciiTheme="minorHAnsi" w:hAnsiTheme="minorHAnsi"/>
          <w:sz w:val="22"/>
          <w:szCs w:val="22"/>
        </w:rPr>
        <w:t xml:space="preserve">  </w:t>
      </w:r>
      <w:r w:rsidR="00F82E7B">
        <w:rPr>
          <w:rFonts w:asciiTheme="minorHAnsi" w:hAnsiTheme="minorHAnsi"/>
          <w:sz w:val="22"/>
          <w:szCs w:val="22"/>
        </w:rPr>
        <w:t>The i</w:t>
      </w:r>
      <w:r>
        <w:rPr>
          <w:rFonts w:asciiTheme="minorHAnsi" w:hAnsiTheme="minorHAnsi"/>
          <w:sz w:val="22"/>
          <w:szCs w:val="22"/>
        </w:rPr>
        <w:t xml:space="preserve">ssue being examined </w:t>
      </w:r>
      <w:r w:rsidR="00F82E7B">
        <w:rPr>
          <w:rFonts w:asciiTheme="minorHAnsi" w:hAnsiTheme="minorHAnsi"/>
          <w:sz w:val="22"/>
          <w:szCs w:val="22"/>
        </w:rPr>
        <w:t xml:space="preserve">is </w:t>
      </w:r>
      <w:r>
        <w:rPr>
          <w:rFonts w:asciiTheme="minorHAnsi" w:hAnsiTheme="minorHAnsi"/>
          <w:sz w:val="22"/>
          <w:szCs w:val="22"/>
        </w:rPr>
        <w:t>the effect of a c</w:t>
      </w:r>
      <w:r w:rsidR="003A3CFF">
        <w:rPr>
          <w:rFonts w:asciiTheme="minorHAnsi" w:hAnsiTheme="minorHAnsi"/>
          <w:sz w:val="22"/>
          <w:szCs w:val="22"/>
        </w:rPr>
        <w:t xml:space="preserve">one of depression from </w:t>
      </w:r>
      <w:r w:rsidR="00F82E7B">
        <w:rPr>
          <w:rFonts w:asciiTheme="minorHAnsi" w:hAnsiTheme="minorHAnsi"/>
          <w:sz w:val="22"/>
          <w:szCs w:val="22"/>
        </w:rPr>
        <w:t xml:space="preserve">agricultural </w:t>
      </w:r>
      <w:r>
        <w:rPr>
          <w:rFonts w:asciiTheme="minorHAnsi" w:hAnsiTheme="minorHAnsi"/>
          <w:sz w:val="22"/>
          <w:szCs w:val="22"/>
        </w:rPr>
        <w:t>ditch</w:t>
      </w:r>
      <w:r w:rsidR="00F82E7B">
        <w:rPr>
          <w:rFonts w:asciiTheme="minorHAnsi" w:hAnsiTheme="minorHAnsi"/>
          <w:sz w:val="22"/>
          <w:szCs w:val="22"/>
        </w:rPr>
        <w:t>es</w:t>
      </w:r>
      <w:r>
        <w:rPr>
          <w:rFonts w:asciiTheme="minorHAnsi" w:hAnsiTheme="minorHAnsi"/>
          <w:sz w:val="22"/>
          <w:szCs w:val="22"/>
        </w:rPr>
        <w:t xml:space="preserve"> on inter-</w:t>
      </w:r>
      <w:proofErr w:type="spellStart"/>
      <w:r>
        <w:rPr>
          <w:rFonts w:asciiTheme="minorHAnsi" w:hAnsiTheme="minorHAnsi"/>
          <w:sz w:val="22"/>
          <w:szCs w:val="22"/>
        </w:rPr>
        <w:t>dunal</w:t>
      </w:r>
      <w:proofErr w:type="spellEnd"/>
      <w:r>
        <w:rPr>
          <w:rFonts w:asciiTheme="minorHAnsi" w:hAnsiTheme="minorHAnsi"/>
          <w:sz w:val="22"/>
          <w:szCs w:val="22"/>
        </w:rPr>
        <w:t xml:space="preserve"> wetland</w:t>
      </w:r>
      <w:r w:rsidR="003A3CFF">
        <w:rPr>
          <w:rFonts w:asciiTheme="minorHAnsi" w:hAnsiTheme="minorHAnsi"/>
          <w:sz w:val="22"/>
          <w:szCs w:val="22"/>
        </w:rPr>
        <w:t>s</w:t>
      </w:r>
      <w:r>
        <w:rPr>
          <w:rFonts w:asciiTheme="minorHAnsi" w:hAnsiTheme="minorHAnsi"/>
          <w:sz w:val="22"/>
          <w:szCs w:val="22"/>
        </w:rPr>
        <w:t xml:space="preserve"> within the NG</w:t>
      </w:r>
      <w:r w:rsidR="00F82E7B">
        <w:rPr>
          <w:rFonts w:asciiTheme="minorHAnsi" w:hAnsiTheme="minorHAnsi"/>
          <w:sz w:val="22"/>
          <w:szCs w:val="22"/>
        </w:rPr>
        <w:t xml:space="preserve"> and possibly on nearby TNC preserves.</w:t>
      </w:r>
      <w:r>
        <w:rPr>
          <w:rFonts w:asciiTheme="minorHAnsi" w:hAnsiTheme="minorHAnsi"/>
          <w:sz w:val="22"/>
          <w:szCs w:val="22"/>
        </w:rPr>
        <w:t xml:space="preserve">  </w:t>
      </w:r>
      <w:r w:rsidR="00556E7B">
        <w:rPr>
          <w:rFonts w:asciiTheme="minorHAnsi" w:hAnsiTheme="minorHAnsi"/>
          <w:sz w:val="22"/>
          <w:szCs w:val="22"/>
        </w:rPr>
        <w:t>The management goal of this project is as follows:</w:t>
      </w:r>
    </w:p>
    <w:p w14:paraId="2DD5F8CC" w14:textId="77777777" w:rsidR="00556E7B" w:rsidRDefault="00556E7B" w:rsidP="00342E43">
      <w:pPr>
        <w:pStyle w:val="CommentText"/>
        <w:ind w:left="720"/>
        <w:rPr>
          <w:i/>
          <w:sz w:val="22"/>
          <w:szCs w:val="22"/>
        </w:rPr>
      </w:pPr>
      <w:r>
        <w:rPr>
          <w:i/>
          <w:sz w:val="22"/>
          <w:szCs w:val="22"/>
        </w:rPr>
        <w:t>How can drainage ditches in the Sheyenne Delta be better managed to meet the goals of agriculture while still supporting an acceptable number of groundwater dependent wetlands and species? Specifically, how can the extent, locations, placement, and management of ditches be designed and maintained to enable them to function more like natural drainages across the landscape?</w:t>
      </w:r>
    </w:p>
    <w:p w14:paraId="5BAE90D7" w14:textId="27C79E22" w:rsidR="003A3CFF" w:rsidRDefault="003A3CFF" w:rsidP="00F71445">
      <w:pPr>
        <w:tabs>
          <w:tab w:val="left" w:pos="180"/>
        </w:tabs>
        <w:spacing w:after="240"/>
        <w:ind w:left="180"/>
        <w:rPr>
          <w:rFonts w:asciiTheme="minorHAnsi" w:hAnsiTheme="minorHAnsi"/>
          <w:sz w:val="22"/>
          <w:szCs w:val="22"/>
        </w:rPr>
      </w:pPr>
    </w:p>
    <w:p w14:paraId="54DE1977" w14:textId="300A46F5" w:rsidR="003A3CFF" w:rsidRPr="00395932" w:rsidRDefault="00A51522" w:rsidP="00342E43">
      <w:pPr>
        <w:tabs>
          <w:tab w:val="left" w:pos="180"/>
        </w:tabs>
        <w:spacing w:after="240"/>
        <w:rPr>
          <w:rStyle w:val="Strong"/>
          <w:rFonts w:asciiTheme="minorHAnsi" w:hAnsiTheme="minorHAnsi"/>
          <w:b w:val="0"/>
          <w:bCs w:val="0"/>
          <w:sz w:val="22"/>
          <w:szCs w:val="22"/>
        </w:rPr>
      </w:pPr>
      <w:r w:rsidRPr="00A51522">
        <w:rPr>
          <w:rFonts w:asciiTheme="minorHAnsi" w:hAnsiTheme="minorHAnsi"/>
          <w:sz w:val="22"/>
          <w:szCs w:val="22"/>
          <w:u w:val="single"/>
        </w:rPr>
        <w:t>Oregon Dunes NRA/Oregon</w:t>
      </w:r>
      <w:r>
        <w:rPr>
          <w:rFonts w:asciiTheme="minorHAnsi" w:hAnsiTheme="minorHAnsi"/>
          <w:sz w:val="22"/>
          <w:szCs w:val="22"/>
        </w:rPr>
        <w:t xml:space="preserve"> – The </w:t>
      </w:r>
      <w:r w:rsidR="003A3CFF">
        <w:rPr>
          <w:rFonts w:asciiTheme="minorHAnsi" w:hAnsiTheme="minorHAnsi"/>
          <w:sz w:val="22"/>
          <w:szCs w:val="22"/>
        </w:rPr>
        <w:t>Oregon Dunes NRA within the Siuslaw</w:t>
      </w:r>
      <w:r>
        <w:rPr>
          <w:rFonts w:asciiTheme="minorHAnsi" w:hAnsiTheme="minorHAnsi"/>
          <w:sz w:val="22"/>
          <w:szCs w:val="22"/>
        </w:rPr>
        <w:t xml:space="preserve"> NF in</w:t>
      </w:r>
      <w:r w:rsidR="003A3CFF">
        <w:rPr>
          <w:rFonts w:asciiTheme="minorHAnsi" w:hAnsiTheme="minorHAnsi"/>
          <w:sz w:val="22"/>
          <w:szCs w:val="22"/>
        </w:rPr>
        <w:t xml:space="preserve"> Oregon is the second pilot test. Community water rights/wells and </w:t>
      </w:r>
      <w:r>
        <w:rPr>
          <w:rFonts w:asciiTheme="minorHAnsi" w:hAnsiTheme="minorHAnsi"/>
          <w:sz w:val="22"/>
          <w:szCs w:val="22"/>
        </w:rPr>
        <w:t xml:space="preserve">their </w:t>
      </w:r>
      <w:r w:rsidR="003A3CFF">
        <w:rPr>
          <w:rFonts w:asciiTheme="minorHAnsi" w:hAnsiTheme="minorHAnsi"/>
          <w:sz w:val="22"/>
          <w:szCs w:val="22"/>
        </w:rPr>
        <w:t xml:space="preserve">effects on </w:t>
      </w:r>
      <w:r>
        <w:rPr>
          <w:rFonts w:asciiTheme="minorHAnsi" w:hAnsiTheme="minorHAnsi"/>
          <w:sz w:val="22"/>
          <w:szCs w:val="22"/>
        </w:rPr>
        <w:t>inter-</w:t>
      </w:r>
      <w:proofErr w:type="spellStart"/>
      <w:r>
        <w:rPr>
          <w:rFonts w:asciiTheme="minorHAnsi" w:hAnsiTheme="minorHAnsi"/>
          <w:sz w:val="22"/>
          <w:szCs w:val="22"/>
        </w:rPr>
        <w:t>dunal</w:t>
      </w:r>
      <w:proofErr w:type="spellEnd"/>
      <w:r>
        <w:rPr>
          <w:rFonts w:asciiTheme="minorHAnsi" w:hAnsiTheme="minorHAnsi"/>
          <w:sz w:val="22"/>
          <w:szCs w:val="22"/>
        </w:rPr>
        <w:t xml:space="preserve"> wetlands within the ODNRA are the focus of the pilot.  This effort is just</w:t>
      </w:r>
      <w:r w:rsidR="003A3CFF">
        <w:rPr>
          <w:rFonts w:asciiTheme="minorHAnsi" w:hAnsiTheme="minorHAnsi"/>
          <w:sz w:val="22"/>
          <w:szCs w:val="22"/>
        </w:rPr>
        <w:t xml:space="preserve"> getting started</w:t>
      </w:r>
      <w:r>
        <w:rPr>
          <w:rFonts w:asciiTheme="minorHAnsi" w:hAnsiTheme="minorHAnsi"/>
          <w:sz w:val="22"/>
          <w:szCs w:val="22"/>
        </w:rPr>
        <w:t xml:space="preserve"> compiling</w:t>
      </w:r>
      <w:r w:rsidR="003A3CFF">
        <w:rPr>
          <w:rFonts w:asciiTheme="minorHAnsi" w:hAnsiTheme="minorHAnsi"/>
          <w:sz w:val="22"/>
          <w:szCs w:val="22"/>
        </w:rPr>
        <w:t xml:space="preserve"> background data and study design. </w:t>
      </w:r>
    </w:p>
    <w:p w14:paraId="4A1F413A" w14:textId="0EFE43AC" w:rsidR="00545908" w:rsidRPr="00C36789" w:rsidRDefault="00E601B7" w:rsidP="00545908">
      <w:pPr>
        <w:pStyle w:val="ListParagraph"/>
        <w:numPr>
          <w:ilvl w:val="0"/>
          <w:numId w:val="28"/>
        </w:numPr>
        <w:shd w:val="clear" w:color="auto" w:fill="C6D9F1" w:themeFill="text2" w:themeFillTint="33"/>
        <w:spacing w:before="240"/>
        <w:rPr>
          <w:rStyle w:val="Strong"/>
          <w:rFonts w:asciiTheme="minorHAnsi" w:hAnsiTheme="minorHAnsi" w:cs="Arial"/>
          <w:color w:val="000000"/>
          <w:sz w:val="22"/>
          <w:szCs w:val="22"/>
        </w:rPr>
      </w:pPr>
      <w:r>
        <w:rPr>
          <w:rStyle w:val="Strong"/>
          <w:rFonts w:asciiTheme="minorHAnsi" w:hAnsiTheme="minorHAnsi" w:cs="Arial"/>
          <w:color w:val="000000"/>
          <w:sz w:val="22"/>
          <w:szCs w:val="22"/>
        </w:rPr>
        <w:t>Groundwater Dependent Ecosystems Inventory</w:t>
      </w:r>
    </w:p>
    <w:p w14:paraId="750D84D5" w14:textId="1DF9B8D8" w:rsidR="00077AEC" w:rsidRPr="00077AEC" w:rsidRDefault="00CC69E6" w:rsidP="00077AEC">
      <w:pPr>
        <w:spacing w:before="240" w:after="24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Joe Gurrieri and Chris Carlson provided the Core Team with an update on:</w:t>
      </w:r>
    </w:p>
    <w:p w14:paraId="18AE1671" w14:textId="630C94FA" w:rsidR="00CC69E6" w:rsidRDefault="00077AEC" w:rsidP="0001064E">
      <w:pPr>
        <w:spacing w:after="240"/>
        <w:ind w:left="18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u w:val="single"/>
        </w:rPr>
        <w:t>Inventory Field Guide Publication Status</w:t>
      </w:r>
      <w:r w:rsidRPr="00077AEC">
        <w:rPr>
          <w:rStyle w:val="Strong"/>
          <w:rFonts w:asciiTheme="minorHAnsi" w:hAnsiTheme="minorHAnsi" w:cs="Arial"/>
          <w:b w:val="0"/>
          <w:color w:val="000000"/>
          <w:sz w:val="22"/>
          <w:szCs w:val="22"/>
        </w:rPr>
        <w:t xml:space="preserve"> – </w:t>
      </w:r>
      <w:r w:rsidR="00CC69E6">
        <w:rPr>
          <w:rStyle w:val="Strong"/>
          <w:rFonts w:asciiTheme="minorHAnsi" w:hAnsiTheme="minorHAnsi" w:cs="Arial"/>
          <w:b w:val="0"/>
          <w:color w:val="000000"/>
          <w:sz w:val="22"/>
          <w:szCs w:val="22"/>
        </w:rPr>
        <w:t xml:space="preserve">Both Level I and Level II Inventory Field Guides </w:t>
      </w:r>
      <w:r w:rsidR="0001064E">
        <w:rPr>
          <w:rStyle w:val="Strong"/>
          <w:rFonts w:asciiTheme="minorHAnsi" w:hAnsiTheme="minorHAnsi" w:cs="Arial"/>
          <w:b w:val="0"/>
          <w:color w:val="000000"/>
          <w:sz w:val="22"/>
          <w:szCs w:val="22"/>
        </w:rPr>
        <w:t>have been published and are available at:</w:t>
      </w:r>
    </w:p>
    <w:p w14:paraId="02ED2C35" w14:textId="77777777" w:rsidR="0001064E" w:rsidRDefault="00F028F6" w:rsidP="0001064E">
      <w:pPr>
        <w:spacing w:before="100" w:beforeAutospacing="1"/>
        <w:ind w:left="720"/>
      </w:pPr>
      <w:r>
        <w:fldChar w:fldCharType="begin"/>
      </w:r>
      <w:r>
        <w:instrText xml:space="preserve"> HYPERLINK "http://www.fs.fed.us/geology/groundwater.html" \t "_blank" </w:instrText>
      </w:r>
      <w:r>
        <w:fldChar w:fldCharType="separate"/>
      </w:r>
      <w:r w:rsidR="0001064E">
        <w:rPr>
          <w:rStyle w:val="Hyperlink"/>
          <w:rFonts w:ascii="Calibri" w:hAnsi="Calibri"/>
          <w:sz w:val="22"/>
          <w:szCs w:val="22"/>
        </w:rPr>
        <w:t>http://www.fs.fed.us/geology/groundwater.html</w:t>
      </w:r>
      <w:r>
        <w:rPr>
          <w:rStyle w:val="Hyperlink"/>
          <w:rFonts w:ascii="Calibri" w:hAnsi="Calibri"/>
          <w:sz w:val="22"/>
          <w:szCs w:val="22"/>
        </w:rPr>
        <w:fldChar w:fldCharType="end"/>
      </w:r>
      <w:r w:rsidR="0001064E">
        <w:rPr>
          <w:rFonts w:ascii="Calibri" w:hAnsi="Calibri"/>
          <w:color w:val="1F497D"/>
          <w:sz w:val="22"/>
          <w:szCs w:val="22"/>
        </w:rPr>
        <w:t xml:space="preserve"> </w:t>
      </w:r>
    </w:p>
    <w:p w14:paraId="5FC5A8BF" w14:textId="77777777" w:rsidR="0001064E" w:rsidRDefault="00F028F6" w:rsidP="0001064E">
      <w:pPr>
        <w:spacing w:after="100" w:afterAutospacing="1"/>
        <w:ind w:left="720"/>
      </w:pPr>
      <w:r>
        <w:fldChar w:fldCharType="begin"/>
      </w:r>
      <w:r>
        <w:instrText xml:space="preserve"> HYPERLINK "http://www.fs.fed.us/biology/resources/pubs/watershed/index.html" \t "_blank" </w:instrText>
      </w:r>
      <w:r>
        <w:fldChar w:fldCharType="separate"/>
      </w:r>
      <w:r w:rsidR="0001064E">
        <w:rPr>
          <w:rStyle w:val="Hyperlink"/>
          <w:rFonts w:ascii="Calibri" w:hAnsi="Calibri"/>
          <w:sz w:val="22"/>
          <w:szCs w:val="22"/>
        </w:rPr>
        <w:t>http://www.fs.fed.us/biology/resources/pubs/watershed/index.html</w:t>
      </w:r>
      <w:r>
        <w:rPr>
          <w:rStyle w:val="Hyperlink"/>
          <w:rFonts w:ascii="Calibri" w:hAnsi="Calibri"/>
          <w:sz w:val="22"/>
          <w:szCs w:val="22"/>
        </w:rPr>
        <w:fldChar w:fldCharType="end"/>
      </w:r>
    </w:p>
    <w:p w14:paraId="02CC6C89" w14:textId="7B700979" w:rsidR="00490498" w:rsidRPr="0001064E" w:rsidRDefault="00490498" w:rsidP="0001064E">
      <w:pPr>
        <w:spacing w:after="240"/>
        <w:ind w:left="180"/>
        <w:rPr>
          <w:rStyle w:val="Strong"/>
          <w:rFonts w:asciiTheme="minorHAnsi" w:hAnsiTheme="minorHAnsi" w:cs="Arial"/>
          <w:b w:val="0"/>
          <w:color w:val="000000"/>
          <w:sz w:val="22"/>
          <w:szCs w:val="22"/>
        </w:rPr>
      </w:pPr>
      <w:r w:rsidRPr="0001064E">
        <w:rPr>
          <w:rStyle w:val="Strong"/>
          <w:rFonts w:asciiTheme="minorHAnsi" w:hAnsiTheme="minorHAnsi" w:cs="Arial"/>
          <w:b w:val="0"/>
          <w:color w:val="000000"/>
          <w:sz w:val="22"/>
          <w:szCs w:val="22"/>
        </w:rPr>
        <w:t xml:space="preserve">All Technical and Field Guides are </w:t>
      </w:r>
      <w:r w:rsidR="0001064E">
        <w:rPr>
          <w:rStyle w:val="Strong"/>
          <w:rFonts w:asciiTheme="minorHAnsi" w:hAnsiTheme="minorHAnsi" w:cs="Arial"/>
          <w:b w:val="0"/>
          <w:color w:val="000000"/>
          <w:sz w:val="22"/>
          <w:szCs w:val="22"/>
        </w:rPr>
        <w:t xml:space="preserve">also </w:t>
      </w:r>
      <w:r w:rsidRPr="0001064E">
        <w:rPr>
          <w:rStyle w:val="Strong"/>
          <w:rFonts w:asciiTheme="minorHAnsi" w:hAnsiTheme="minorHAnsi" w:cs="Arial"/>
          <w:b w:val="0"/>
          <w:color w:val="000000"/>
          <w:sz w:val="22"/>
          <w:szCs w:val="22"/>
        </w:rPr>
        <w:t xml:space="preserve">posted on the EMC </w:t>
      </w:r>
      <w:r w:rsidR="0001064E">
        <w:rPr>
          <w:rStyle w:val="Strong"/>
          <w:rFonts w:asciiTheme="minorHAnsi" w:hAnsiTheme="minorHAnsi" w:cs="Arial"/>
          <w:b w:val="0"/>
          <w:color w:val="000000"/>
          <w:sz w:val="22"/>
          <w:szCs w:val="22"/>
        </w:rPr>
        <w:t xml:space="preserve">– Resource Information page.  There is a </w:t>
      </w:r>
      <w:r w:rsidRPr="0001064E">
        <w:rPr>
          <w:rStyle w:val="Strong"/>
          <w:rFonts w:asciiTheme="minorHAnsi" w:hAnsiTheme="minorHAnsi" w:cs="Arial"/>
          <w:b w:val="0"/>
          <w:color w:val="000000"/>
          <w:sz w:val="22"/>
          <w:szCs w:val="22"/>
        </w:rPr>
        <w:t xml:space="preserve">placeholder for the Level I and II Field guides and database on this page.  </w:t>
      </w:r>
      <w:r w:rsidR="0001064E">
        <w:rPr>
          <w:rStyle w:val="Strong"/>
          <w:rFonts w:asciiTheme="minorHAnsi" w:hAnsiTheme="minorHAnsi" w:cs="Arial"/>
          <w:b w:val="0"/>
          <w:color w:val="000000"/>
          <w:sz w:val="22"/>
          <w:szCs w:val="22"/>
        </w:rPr>
        <w:t xml:space="preserve">These links will be active shortly at: </w:t>
      </w:r>
      <w:hyperlink r:id="rId10" w:history="1">
        <w:r w:rsidRPr="0001064E">
          <w:rPr>
            <w:rStyle w:val="Hyperlink"/>
            <w:rFonts w:asciiTheme="minorHAnsi" w:hAnsiTheme="minorHAnsi" w:cs="Arial"/>
            <w:sz w:val="22"/>
            <w:szCs w:val="22"/>
          </w:rPr>
          <w:t>http://www.fs.fed.us/emc/rig/protocols/master.shtml</w:t>
        </w:r>
      </w:hyperlink>
      <w:r w:rsidRPr="0001064E">
        <w:rPr>
          <w:rStyle w:val="Strong"/>
          <w:rFonts w:asciiTheme="minorHAnsi" w:hAnsiTheme="minorHAnsi" w:cs="Arial"/>
          <w:b w:val="0"/>
          <w:color w:val="000000"/>
          <w:sz w:val="22"/>
          <w:szCs w:val="22"/>
        </w:rPr>
        <w:t xml:space="preserve"> </w:t>
      </w:r>
    </w:p>
    <w:p w14:paraId="003FC99E" w14:textId="77777777" w:rsidR="001F5779" w:rsidRDefault="001F5779" w:rsidP="00F71445">
      <w:pPr>
        <w:spacing w:before="240" w:after="200"/>
        <w:ind w:left="18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The GDE database and portable data recorder application are also available for use.  These applications will also be posted on the M&amp;G/WWFARP and EMC websites.  In the meantime, contact Joe if you need them.</w:t>
      </w:r>
    </w:p>
    <w:p w14:paraId="6D3FA1D4" w14:textId="1E868F65" w:rsidR="00490498" w:rsidRDefault="00077AEC" w:rsidP="001F5779">
      <w:pPr>
        <w:spacing w:before="240" w:after="200"/>
        <w:ind w:left="18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u w:val="single"/>
        </w:rPr>
        <w:t>GDE Training and Implementation Support</w:t>
      </w:r>
      <w:r w:rsidR="00490498">
        <w:rPr>
          <w:rStyle w:val="Strong"/>
          <w:rFonts w:asciiTheme="minorHAnsi" w:hAnsiTheme="minorHAnsi" w:cs="Arial"/>
          <w:b w:val="0"/>
          <w:color w:val="000000"/>
          <w:sz w:val="22"/>
          <w:szCs w:val="22"/>
        </w:rPr>
        <w:t xml:space="preserve"> – Joe </w:t>
      </w:r>
      <w:r w:rsidR="0001064E">
        <w:rPr>
          <w:rStyle w:val="Strong"/>
          <w:rFonts w:asciiTheme="minorHAnsi" w:hAnsiTheme="minorHAnsi" w:cs="Arial"/>
          <w:b w:val="0"/>
          <w:color w:val="000000"/>
          <w:sz w:val="22"/>
          <w:szCs w:val="22"/>
        </w:rPr>
        <w:t>has been</w:t>
      </w:r>
      <w:r w:rsidR="00490498">
        <w:rPr>
          <w:rStyle w:val="Strong"/>
          <w:rFonts w:asciiTheme="minorHAnsi" w:hAnsiTheme="minorHAnsi" w:cs="Arial"/>
          <w:b w:val="0"/>
          <w:color w:val="000000"/>
          <w:sz w:val="22"/>
          <w:szCs w:val="22"/>
        </w:rPr>
        <w:t xml:space="preserve"> working with the National Minerals Training Office </w:t>
      </w:r>
      <w:r w:rsidR="0001064E">
        <w:rPr>
          <w:rStyle w:val="Strong"/>
          <w:rFonts w:asciiTheme="minorHAnsi" w:hAnsiTheme="minorHAnsi" w:cs="Arial"/>
          <w:b w:val="0"/>
          <w:color w:val="000000"/>
          <w:sz w:val="22"/>
          <w:szCs w:val="22"/>
        </w:rPr>
        <w:t>and has</w:t>
      </w:r>
      <w:r w:rsidR="00490498">
        <w:rPr>
          <w:rStyle w:val="Strong"/>
          <w:rFonts w:asciiTheme="minorHAnsi" w:hAnsiTheme="minorHAnsi" w:cs="Arial"/>
          <w:b w:val="0"/>
          <w:color w:val="000000"/>
          <w:sz w:val="22"/>
          <w:szCs w:val="22"/>
        </w:rPr>
        <w:t xml:space="preserve"> develop</w:t>
      </w:r>
      <w:r w:rsidR="0001064E">
        <w:rPr>
          <w:rStyle w:val="Strong"/>
          <w:rFonts w:asciiTheme="minorHAnsi" w:hAnsiTheme="minorHAnsi" w:cs="Arial"/>
          <w:b w:val="0"/>
          <w:color w:val="000000"/>
          <w:sz w:val="22"/>
          <w:szCs w:val="22"/>
        </w:rPr>
        <w:t>ed</w:t>
      </w:r>
      <w:r w:rsidR="00490498">
        <w:rPr>
          <w:rStyle w:val="Strong"/>
          <w:rFonts w:asciiTheme="minorHAnsi" w:hAnsiTheme="minorHAnsi" w:cs="Arial"/>
          <w:b w:val="0"/>
          <w:color w:val="000000"/>
          <w:sz w:val="22"/>
          <w:szCs w:val="22"/>
        </w:rPr>
        <w:t xml:space="preserve"> a one-hour training webinar on GDE inventory.  The webinar w</w:t>
      </w:r>
      <w:r w:rsidR="0001064E">
        <w:rPr>
          <w:rStyle w:val="Strong"/>
          <w:rFonts w:asciiTheme="minorHAnsi" w:hAnsiTheme="minorHAnsi" w:cs="Arial"/>
          <w:b w:val="0"/>
          <w:color w:val="000000"/>
          <w:sz w:val="22"/>
          <w:szCs w:val="22"/>
        </w:rPr>
        <w:t>as</w:t>
      </w:r>
      <w:r w:rsidR="00490498">
        <w:rPr>
          <w:rStyle w:val="Strong"/>
          <w:rFonts w:asciiTheme="minorHAnsi" w:hAnsiTheme="minorHAnsi" w:cs="Arial"/>
          <w:b w:val="0"/>
          <w:color w:val="000000"/>
          <w:sz w:val="22"/>
          <w:szCs w:val="22"/>
        </w:rPr>
        <w:t xml:space="preserve"> used as part of a “train-the-trainer” session in Region 4 </w:t>
      </w:r>
      <w:r w:rsidR="0001064E">
        <w:rPr>
          <w:rStyle w:val="Strong"/>
          <w:rFonts w:asciiTheme="minorHAnsi" w:hAnsiTheme="minorHAnsi" w:cs="Arial"/>
          <w:b w:val="0"/>
          <w:color w:val="000000"/>
          <w:sz w:val="22"/>
          <w:szCs w:val="22"/>
        </w:rPr>
        <w:t>last week</w:t>
      </w:r>
      <w:r w:rsidR="00490498">
        <w:rPr>
          <w:rStyle w:val="Strong"/>
          <w:rFonts w:asciiTheme="minorHAnsi" w:hAnsiTheme="minorHAnsi" w:cs="Arial"/>
          <w:b w:val="0"/>
          <w:color w:val="000000"/>
          <w:sz w:val="22"/>
          <w:szCs w:val="22"/>
        </w:rPr>
        <w:t xml:space="preserve"> that also includes a three-day field session.  Following this session, the webinar will be avail</w:t>
      </w:r>
      <w:r w:rsidR="0001064E">
        <w:rPr>
          <w:rStyle w:val="Strong"/>
          <w:rFonts w:asciiTheme="minorHAnsi" w:hAnsiTheme="minorHAnsi" w:cs="Arial"/>
          <w:b w:val="0"/>
          <w:color w:val="000000"/>
          <w:sz w:val="22"/>
          <w:szCs w:val="22"/>
        </w:rPr>
        <w:t xml:space="preserve">able for use in other Regions.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80"/>
        <w:gridCol w:w="8208"/>
      </w:tblGrid>
      <w:tr w:rsidR="00490498" w:rsidRPr="00302229" w14:paraId="1DF314CE" w14:textId="77777777" w:rsidTr="00490498">
        <w:tc>
          <w:tcPr>
            <w:tcW w:w="1080" w:type="dxa"/>
            <w:shd w:val="clear" w:color="auto" w:fill="DBE5F1" w:themeFill="accent1" w:themeFillTint="33"/>
          </w:tcPr>
          <w:p w14:paraId="214E545F" w14:textId="77777777" w:rsidR="00490498" w:rsidRPr="00302229" w:rsidRDefault="00490498" w:rsidP="00F71445">
            <w:pPr>
              <w:spacing w:after="240"/>
              <w:ind w:left="180"/>
              <w:rPr>
                <w:rStyle w:val="Strong"/>
                <w:rFonts w:asciiTheme="minorHAnsi" w:hAnsiTheme="minorHAnsi" w:cs="Arial"/>
                <w:color w:val="000000"/>
                <w:sz w:val="22"/>
                <w:szCs w:val="22"/>
              </w:rPr>
            </w:pPr>
            <w:r w:rsidRPr="00302229">
              <w:rPr>
                <w:rStyle w:val="Strong"/>
                <w:rFonts w:asciiTheme="minorHAnsi" w:hAnsiTheme="minorHAnsi" w:cs="Arial"/>
                <w:color w:val="000000"/>
                <w:sz w:val="22"/>
                <w:szCs w:val="22"/>
              </w:rPr>
              <w:t xml:space="preserve">Action: </w:t>
            </w:r>
          </w:p>
        </w:tc>
        <w:tc>
          <w:tcPr>
            <w:tcW w:w="8208" w:type="dxa"/>
            <w:shd w:val="clear" w:color="auto" w:fill="DBE5F1" w:themeFill="accent1" w:themeFillTint="33"/>
          </w:tcPr>
          <w:p w14:paraId="2A089A49" w14:textId="77777777" w:rsidR="00490498" w:rsidRDefault="00FD6B9D" w:rsidP="0001064E">
            <w:pPr>
              <w:pStyle w:val="ListParagraph"/>
              <w:numPr>
                <w:ilvl w:val="0"/>
                <w:numId w:val="30"/>
              </w:numPr>
              <w:ind w:left="180" w:hanging="288"/>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will work with the EMC staff to post the Field Guides, GDE database, forms, and PDA application on the EMC-RIG webpage</w:t>
            </w:r>
            <w:r w:rsidR="00490498">
              <w:rPr>
                <w:rStyle w:val="Strong"/>
                <w:rFonts w:asciiTheme="minorHAnsi" w:hAnsiTheme="minorHAnsi" w:cs="Arial"/>
                <w:b w:val="0"/>
                <w:color w:val="000000"/>
                <w:sz w:val="22"/>
                <w:szCs w:val="22"/>
              </w:rPr>
              <w:t>.</w:t>
            </w:r>
          </w:p>
          <w:p w14:paraId="55078E83" w14:textId="27139F83" w:rsidR="00A51522" w:rsidRPr="00CC69E6" w:rsidRDefault="00A51522" w:rsidP="0001064E">
            <w:pPr>
              <w:pStyle w:val="ListParagraph"/>
              <w:numPr>
                <w:ilvl w:val="0"/>
                <w:numId w:val="30"/>
              </w:numPr>
              <w:ind w:left="180" w:hanging="288"/>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Core Team members should contact Joe about training information and access to the PDA application and GDE database.</w:t>
            </w:r>
          </w:p>
        </w:tc>
      </w:tr>
    </w:tbl>
    <w:p w14:paraId="6EC89D7A" w14:textId="6F84E2F0" w:rsidR="00490498" w:rsidRDefault="00490498" w:rsidP="001F5779">
      <w:pPr>
        <w:spacing w:before="240" w:after="200"/>
        <w:rPr>
          <w:rStyle w:val="Strong"/>
          <w:rFonts w:asciiTheme="minorHAnsi" w:hAnsiTheme="minorHAnsi" w:cs="Arial"/>
          <w:b w:val="0"/>
          <w:color w:val="000000"/>
          <w:sz w:val="22"/>
          <w:szCs w:val="22"/>
        </w:rPr>
      </w:pPr>
    </w:p>
    <w:sectPr w:rsidR="00490498" w:rsidSect="00077AEC">
      <w:footerReference w:type="default" r:id="rId11"/>
      <w:pgSz w:w="12240" w:h="15840"/>
      <w:pgMar w:top="990" w:right="1170" w:bottom="135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F374D" w14:textId="77777777" w:rsidR="0061587C" w:rsidRDefault="0061587C" w:rsidP="00EF709A">
      <w:r>
        <w:separator/>
      </w:r>
    </w:p>
  </w:endnote>
  <w:endnote w:type="continuationSeparator" w:id="0">
    <w:p w14:paraId="59F09A7F" w14:textId="77777777" w:rsidR="0061587C" w:rsidRDefault="0061587C" w:rsidP="00EF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b/>
        <w:sz w:val="20"/>
        <w:szCs w:val="20"/>
      </w:rPr>
      <w:id w:val="76646146"/>
      <w:docPartObj>
        <w:docPartGallery w:val="Page Numbers (Bottom of Page)"/>
        <w:docPartUnique/>
      </w:docPartObj>
    </w:sdtPr>
    <w:sdtEndPr/>
    <w:sdtContent>
      <w:p w14:paraId="54F8BC5F" w14:textId="77777777" w:rsidR="006D5542" w:rsidRDefault="006D5542" w:rsidP="00077AEC">
        <w:pPr>
          <w:pStyle w:val="Footer"/>
          <w:pBdr>
            <w:top w:val="single" w:sz="4" w:space="1" w:color="auto"/>
          </w:pBdr>
          <w:rPr>
            <w:rFonts w:asciiTheme="minorHAnsi" w:hAnsiTheme="minorHAnsi"/>
            <w:b/>
            <w:i/>
            <w:sz w:val="20"/>
            <w:szCs w:val="20"/>
          </w:rPr>
        </w:pPr>
        <w:r w:rsidRPr="00077AEC">
          <w:rPr>
            <w:rFonts w:asciiTheme="minorHAnsi" w:hAnsiTheme="minorHAnsi"/>
            <w:b/>
            <w:i/>
            <w:sz w:val="20"/>
            <w:szCs w:val="20"/>
          </w:rPr>
          <w:t>Groundwater Inventory, Monitoring, and Assessment Technical Guide</w:t>
        </w:r>
      </w:p>
      <w:p w14:paraId="1AEFE7E2" w14:textId="75A32208" w:rsidR="006D5542" w:rsidRPr="00077AEC" w:rsidRDefault="006D5542" w:rsidP="00077AEC">
        <w:pPr>
          <w:pStyle w:val="Footer"/>
          <w:pBdr>
            <w:top w:val="single" w:sz="4" w:space="1" w:color="auto"/>
          </w:pBdr>
          <w:rPr>
            <w:rFonts w:asciiTheme="minorHAnsi" w:hAnsiTheme="minorHAnsi"/>
            <w:b/>
            <w:i/>
            <w:sz w:val="20"/>
            <w:szCs w:val="20"/>
          </w:rPr>
        </w:pPr>
        <w:r w:rsidRPr="00077AEC">
          <w:rPr>
            <w:rFonts w:asciiTheme="minorHAnsi" w:hAnsiTheme="minorHAnsi"/>
            <w:b/>
            <w:i/>
            <w:sz w:val="20"/>
            <w:szCs w:val="20"/>
          </w:rPr>
          <w:t xml:space="preserve">Core Team Meeting Notes – </w:t>
        </w:r>
        <w:r w:rsidR="00A51522">
          <w:rPr>
            <w:rFonts w:asciiTheme="minorHAnsi" w:hAnsiTheme="minorHAnsi"/>
            <w:b/>
            <w:i/>
            <w:sz w:val="20"/>
            <w:szCs w:val="20"/>
          </w:rPr>
          <w:t>6/13</w:t>
        </w:r>
        <w:r w:rsidRPr="00077AEC">
          <w:rPr>
            <w:rFonts w:asciiTheme="minorHAnsi" w:hAnsiTheme="minorHAnsi"/>
            <w:b/>
            <w:i/>
            <w:sz w:val="20"/>
            <w:szCs w:val="20"/>
          </w:rPr>
          <w:t xml:space="preserve">/12 </w:t>
        </w:r>
        <w:r w:rsidR="00A51522">
          <w:rPr>
            <w:rFonts w:asciiTheme="minorHAnsi" w:hAnsiTheme="minorHAnsi"/>
            <w:b/>
            <w:i/>
            <w:sz w:val="20"/>
            <w:szCs w:val="20"/>
          </w:rPr>
          <w:t>(</w:t>
        </w:r>
        <w:r w:rsidR="00342E43">
          <w:rPr>
            <w:rFonts w:asciiTheme="minorHAnsi" w:hAnsiTheme="minorHAnsi"/>
            <w:b/>
            <w:i/>
            <w:sz w:val="20"/>
            <w:szCs w:val="20"/>
          </w:rPr>
          <w:t>Final</w:t>
        </w:r>
        <w:r w:rsidRPr="00077AEC">
          <w:rPr>
            <w:rFonts w:asciiTheme="minorHAnsi" w:hAnsiTheme="minorHAnsi"/>
            <w:b/>
            <w:i/>
            <w:sz w:val="20"/>
            <w:szCs w:val="20"/>
          </w:rPr>
          <w:t>)</w:t>
        </w:r>
        <w:r>
          <w:rPr>
            <w:rFonts w:asciiTheme="minorHAnsi" w:hAnsiTheme="minorHAnsi"/>
            <w:b/>
            <w:sz w:val="20"/>
            <w:szCs w:val="20"/>
          </w:rPr>
          <w:tab/>
        </w:r>
        <w:r w:rsidRPr="007C3D7F">
          <w:rPr>
            <w:rFonts w:asciiTheme="minorHAnsi" w:hAnsiTheme="minorHAnsi"/>
            <w:b/>
            <w:sz w:val="20"/>
            <w:szCs w:val="20"/>
          </w:rPr>
          <w:tab/>
        </w:r>
        <w:r w:rsidRPr="007C3D7F">
          <w:rPr>
            <w:rFonts w:asciiTheme="minorHAnsi" w:hAnsiTheme="minorHAnsi"/>
            <w:b/>
            <w:sz w:val="20"/>
            <w:szCs w:val="20"/>
          </w:rPr>
          <w:fldChar w:fldCharType="begin"/>
        </w:r>
        <w:r w:rsidRPr="007C3D7F">
          <w:rPr>
            <w:rFonts w:asciiTheme="minorHAnsi" w:hAnsiTheme="minorHAnsi"/>
            <w:b/>
            <w:sz w:val="20"/>
            <w:szCs w:val="20"/>
          </w:rPr>
          <w:instrText xml:space="preserve"> PAGE   \* MERGEFORMAT </w:instrText>
        </w:r>
        <w:r w:rsidRPr="007C3D7F">
          <w:rPr>
            <w:rFonts w:asciiTheme="minorHAnsi" w:hAnsiTheme="minorHAnsi"/>
            <w:b/>
            <w:sz w:val="20"/>
            <w:szCs w:val="20"/>
          </w:rPr>
          <w:fldChar w:fldCharType="separate"/>
        </w:r>
        <w:r w:rsidR="00F028F6">
          <w:rPr>
            <w:rFonts w:asciiTheme="minorHAnsi" w:hAnsiTheme="minorHAnsi"/>
            <w:b/>
            <w:noProof/>
            <w:sz w:val="20"/>
            <w:szCs w:val="20"/>
          </w:rPr>
          <w:t>1</w:t>
        </w:r>
        <w:r w:rsidRPr="007C3D7F">
          <w:rPr>
            <w:rFonts w:asciiTheme="minorHAnsi" w:hAnsiTheme="minorHAnsi"/>
            <w:b/>
            <w:sz w:val="20"/>
            <w:szCs w:val="20"/>
          </w:rPr>
          <w:fldChar w:fldCharType="end"/>
        </w:r>
      </w:p>
    </w:sdtContent>
  </w:sdt>
  <w:p w14:paraId="009F9023" w14:textId="77777777" w:rsidR="006D5542" w:rsidRDefault="006D55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A7CC4" w14:textId="77777777" w:rsidR="0061587C" w:rsidRDefault="0061587C" w:rsidP="00EF709A">
      <w:r>
        <w:separator/>
      </w:r>
    </w:p>
  </w:footnote>
  <w:footnote w:type="continuationSeparator" w:id="0">
    <w:p w14:paraId="35CEC098" w14:textId="77777777" w:rsidR="0061587C" w:rsidRDefault="0061587C" w:rsidP="00EF70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C9F"/>
    <w:multiLevelType w:val="hybridMultilevel"/>
    <w:tmpl w:val="B9BCD52E"/>
    <w:lvl w:ilvl="0" w:tplc="AFDC104C">
      <w:numFmt w:val="bullet"/>
      <w:lvlText w:val="-"/>
      <w:lvlJc w:val="left"/>
      <w:pPr>
        <w:tabs>
          <w:tab w:val="num" w:pos="792"/>
        </w:tabs>
        <w:ind w:left="936" w:hanging="216"/>
      </w:pPr>
      <w:rPr>
        <w:rFonts w:ascii="Arial" w:eastAsia="Times New Roman" w:hAnsi="Arial" w:hint="default"/>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
    <w:nsid w:val="06B3378D"/>
    <w:multiLevelType w:val="hybridMultilevel"/>
    <w:tmpl w:val="D10A26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A3E1D32"/>
    <w:multiLevelType w:val="hybridMultilevel"/>
    <w:tmpl w:val="9782CE4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97ABD"/>
    <w:multiLevelType w:val="hybridMultilevel"/>
    <w:tmpl w:val="ECCA819E"/>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422C9D"/>
    <w:multiLevelType w:val="multilevel"/>
    <w:tmpl w:val="327C0512"/>
    <w:lvl w:ilvl="0">
      <w:numFmt w:val="bullet"/>
      <w:lvlText w:val="-"/>
      <w:lvlJc w:val="left"/>
      <w:pPr>
        <w:tabs>
          <w:tab w:val="num" w:pos="600"/>
        </w:tabs>
        <w:ind w:left="600" w:hanging="360"/>
      </w:pPr>
      <w:rPr>
        <w:rFonts w:ascii="Arial" w:eastAsia="Times New Roman" w:hAnsi="Arial" w:cs="Arial" w:hint="default"/>
      </w:rPr>
    </w:lvl>
    <w:lvl w:ilvl="1">
      <w:start w:val="1"/>
      <w:numFmt w:val="bullet"/>
      <w:lvlText w:val=""/>
      <w:lvlJc w:val="left"/>
      <w:pPr>
        <w:tabs>
          <w:tab w:val="num" w:pos="1320"/>
        </w:tabs>
        <w:ind w:left="1320" w:hanging="360"/>
      </w:pPr>
      <w:rPr>
        <w:rFonts w:ascii="Wingdings" w:hAnsi="Wingdings" w:hint="default"/>
      </w:rPr>
    </w:lvl>
    <w:lvl w:ilvl="2">
      <w:start w:val="1"/>
      <w:numFmt w:val="bullet"/>
      <w:lvlText w:val=""/>
      <w:lvlJc w:val="left"/>
      <w:pPr>
        <w:tabs>
          <w:tab w:val="num" w:pos="2040"/>
        </w:tabs>
        <w:ind w:left="2040" w:hanging="360"/>
      </w:pPr>
      <w:rPr>
        <w:rFonts w:ascii="Wingdings" w:hAnsi="Wingdings" w:hint="default"/>
      </w:rPr>
    </w:lvl>
    <w:lvl w:ilvl="3">
      <w:start w:val="1"/>
      <w:numFmt w:val="bullet"/>
      <w:lvlText w:val=""/>
      <w:lvlJc w:val="left"/>
      <w:pPr>
        <w:tabs>
          <w:tab w:val="num" w:pos="2760"/>
        </w:tabs>
        <w:ind w:left="2760" w:hanging="360"/>
      </w:pPr>
      <w:rPr>
        <w:rFonts w:ascii="Symbol" w:hAnsi="Symbol" w:hint="default"/>
      </w:rPr>
    </w:lvl>
    <w:lvl w:ilvl="4">
      <w:start w:val="1"/>
      <w:numFmt w:val="bullet"/>
      <w:lvlText w:val="o"/>
      <w:lvlJc w:val="left"/>
      <w:pPr>
        <w:tabs>
          <w:tab w:val="num" w:pos="3480"/>
        </w:tabs>
        <w:ind w:left="3480" w:hanging="360"/>
      </w:pPr>
      <w:rPr>
        <w:rFonts w:ascii="Courier New" w:hAnsi="Courier New" w:cs="Courier New" w:hint="default"/>
      </w:rPr>
    </w:lvl>
    <w:lvl w:ilvl="5">
      <w:start w:val="1"/>
      <w:numFmt w:val="bullet"/>
      <w:lvlText w:val=""/>
      <w:lvlJc w:val="left"/>
      <w:pPr>
        <w:tabs>
          <w:tab w:val="num" w:pos="4200"/>
        </w:tabs>
        <w:ind w:left="4200" w:hanging="360"/>
      </w:pPr>
      <w:rPr>
        <w:rFonts w:ascii="Wingdings" w:hAnsi="Wingdings" w:hint="default"/>
      </w:rPr>
    </w:lvl>
    <w:lvl w:ilvl="6">
      <w:start w:val="1"/>
      <w:numFmt w:val="bullet"/>
      <w:lvlText w:val=""/>
      <w:lvlJc w:val="left"/>
      <w:pPr>
        <w:tabs>
          <w:tab w:val="num" w:pos="4920"/>
        </w:tabs>
        <w:ind w:left="4920" w:hanging="360"/>
      </w:pPr>
      <w:rPr>
        <w:rFonts w:ascii="Symbol" w:hAnsi="Symbol" w:hint="default"/>
      </w:rPr>
    </w:lvl>
    <w:lvl w:ilvl="7">
      <w:start w:val="1"/>
      <w:numFmt w:val="bullet"/>
      <w:lvlText w:val="o"/>
      <w:lvlJc w:val="left"/>
      <w:pPr>
        <w:tabs>
          <w:tab w:val="num" w:pos="5640"/>
        </w:tabs>
        <w:ind w:left="5640" w:hanging="360"/>
      </w:pPr>
      <w:rPr>
        <w:rFonts w:ascii="Courier New" w:hAnsi="Courier New" w:cs="Courier New" w:hint="default"/>
      </w:rPr>
    </w:lvl>
    <w:lvl w:ilvl="8">
      <w:start w:val="1"/>
      <w:numFmt w:val="bullet"/>
      <w:lvlText w:val=""/>
      <w:lvlJc w:val="left"/>
      <w:pPr>
        <w:tabs>
          <w:tab w:val="num" w:pos="6360"/>
        </w:tabs>
        <w:ind w:left="6360" w:hanging="360"/>
      </w:pPr>
      <w:rPr>
        <w:rFonts w:ascii="Wingdings" w:hAnsi="Wingdings" w:hint="default"/>
      </w:rPr>
    </w:lvl>
  </w:abstractNum>
  <w:abstractNum w:abstractNumId="5">
    <w:nsid w:val="123D668B"/>
    <w:multiLevelType w:val="hybridMultilevel"/>
    <w:tmpl w:val="9CCCAC52"/>
    <w:lvl w:ilvl="0" w:tplc="A5E6D2E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E2139"/>
    <w:multiLevelType w:val="hybridMultilevel"/>
    <w:tmpl w:val="70F60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9574595"/>
    <w:multiLevelType w:val="hybridMultilevel"/>
    <w:tmpl w:val="EFD8DAB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954993"/>
    <w:multiLevelType w:val="hybridMultilevel"/>
    <w:tmpl w:val="8F90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C6C7E"/>
    <w:multiLevelType w:val="hybridMultilevel"/>
    <w:tmpl w:val="E7E850AE"/>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9D5C47"/>
    <w:multiLevelType w:val="hybridMultilevel"/>
    <w:tmpl w:val="D2CC8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8E6244"/>
    <w:multiLevelType w:val="hybridMultilevel"/>
    <w:tmpl w:val="4B78A3D2"/>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792EF7"/>
    <w:multiLevelType w:val="hybridMultilevel"/>
    <w:tmpl w:val="FA9E30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7E2CF1"/>
    <w:multiLevelType w:val="hybridMultilevel"/>
    <w:tmpl w:val="CED20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C11CBD"/>
    <w:multiLevelType w:val="hybridMultilevel"/>
    <w:tmpl w:val="487A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08292C"/>
    <w:multiLevelType w:val="hybridMultilevel"/>
    <w:tmpl w:val="E1562278"/>
    <w:lvl w:ilvl="0" w:tplc="784ECC52">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53A6152"/>
    <w:multiLevelType w:val="hybridMultilevel"/>
    <w:tmpl w:val="B1CEB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7A5340"/>
    <w:multiLevelType w:val="hybridMultilevel"/>
    <w:tmpl w:val="0554AC88"/>
    <w:lvl w:ilvl="0" w:tplc="9EDE4F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D6444B"/>
    <w:multiLevelType w:val="hybridMultilevel"/>
    <w:tmpl w:val="664CFD46"/>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3D2A77"/>
    <w:multiLevelType w:val="hybridMultilevel"/>
    <w:tmpl w:val="A42E2744"/>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6348ED"/>
    <w:multiLevelType w:val="hybridMultilevel"/>
    <w:tmpl w:val="D93A20D0"/>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0E4270"/>
    <w:multiLevelType w:val="hybridMultilevel"/>
    <w:tmpl w:val="F3B2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CD6EDB"/>
    <w:multiLevelType w:val="hybridMultilevel"/>
    <w:tmpl w:val="2400877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F13BE2"/>
    <w:multiLevelType w:val="hybridMultilevel"/>
    <w:tmpl w:val="09B4952E"/>
    <w:lvl w:ilvl="0" w:tplc="A5E6D2E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EC5D65"/>
    <w:multiLevelType w:val="hybridMultilevel"/>
    <w:tmpl w:val="56A44494"/>
    <w:lvl w:ilvl="0" w:tplc="0409000D">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5">
    <w:nsid w:val="375D2CC7"/>
    <w:multiLevelType w:val="hybridMultilevel"/>
    <w:tmpl w:val="2CFAE32C"/>
    <w:lvl w:ilvl="0" w:tplc="A5E6D2E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D1221E5"/>
    <w:multiLevelType w:val="hybridMultilevel"/>
    <w:tmpl w:val="327C0512"/>
    <w:lvl w:ilvl="0" w:tplc="B6A8E3D6">
      <w:numFmt w:val="bullet"/>
      <w:lvlText w:val="-"/>
      <w:lvlJc w:val="left"/>
      <w:pPr>
        <w:tabs>
          <w:tab w:val="num" w:pos="600"/>
        </w:tabs>
        <w:ind w:left="600" w:hanging="360"/>
      </w:pPr>
      <w:rPr>
        <w:rFonts w:ascii="Arial" w:eastAsia="Times New Roman" w:hAnsi="Arial" w:cs="Arial" w:hint="default"/>
      </w:rPr>
    </w:lvl>
    <w:lvl w:ilvl="1" w:tplc="9EDE4F60">
      <w:start w:val="1"/>
      <w:numFmt w:val="bullet"/>
      <w:lvlText w:val=""/>
      <w:lvlJc w:val="left"/>
      <w:pPr>
        <w:tabs>
          <w:tab w:val="num" w:pos="1320"/>
        </w:tabs>
        <w:ind w:left="1320" w:hanging="360"/>
      </w:pPr>
      <w:rPr>
        <w:rFonts w:ascii="Wingdings" w:hAnsi="Wingdings"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7">
    <w:nsid w:val="455E722B"/>
    <w:multiLevelType w:val="hybridMultilevel"/>
    <w:tmpl w:val="B8D082D8"/>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8">
    <w:nsid w:val="4BF65BFA"/>
    <w:multiLevelType w:val="hybridMultilevel"/>
    <w:tmpl w:val="9A32D8B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E9734AA"/>
    <w:multiLevelType w:val="hybridMultilevel"/>
    <w:tmpl w:val="5B842F86"/>
    <w:lvl w:ilvl="0" w:tplc="A5E6D2E0">
      <w:start w:val="1"/>
      <w:numFmt w:val="bullet"/>
      <w:lvlText w:val="-"/>
      <w:lvlJc w:val="left"/>
      <w:pPr>
        <w:tabs>
          <w:tab w:val="num" w:pos="600"/>
        </w:tabs>
        <w:ind w:left="600" w:hanging="360"/>
      </w:pPr>
      <w:rPr>
        <w:rFonts w:ascii="SimSun" w:eastAsia="SimSun" w:hAnsi="SimSu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432A3B"/>
    <w:multiLevelType w:val="hybridMultilevel"/>
    <w:tmpl w:val="A7B2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B50213"/>
    <w:multiLevelType w:val="hybridMultilevel"/>
    <w:tmpl w:val="A572B0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593220F0"/>
    <w:multiLevelType w:val="hybridMultilevel"/>
    <w:tmpl w:val="D696FA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BC142A9"/>
    <w:multiLevelType w:val="hybridMultilevel"/>
    <w:tmpl w:val="1B84DFF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nsid w:val="5DBD58B5"/>
    <w:multiLevelType w:val="multilevel"/>
    <w:tmpl w:val="D2CC85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5F312CD3"/>
    <w:multiLevelType w:val="hybridMultilevel"/>
    <w:tmpl w:val="2780A6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422F24"/>
    <w:multiLevelType w:val="hybridMultilevel"/>
    <w:tmpl w:val="749E503C"/>
    <w:lvl w:ilvl="0" w:tplc="9238D852">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7">
    <w:nsid w:val="5F837412"/>
    <w:multiLevelType w:val="hybridMultilevel"/>
    <w:tmpl w:val="4600F700"/>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134FA1"/>
    <w:multiLevelType w:val="hybridMultilevel"/>
    <w:tmpl w:val="283266F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11D51C5"/>
    <w:multiLevelType w:val="multilevel"/>
    <w:tmpl w:val="781A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9850B5"/>
    <w:multiLevelType w:val="hybridMultilevel"/>
    <w:tmpl w:val="DAE03B4A"/>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660FB9"/>
    <w:multiLevelType w:val="hybridMultilevel"/>
    <w:tmpl w:val="CE3A341E"/>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377B90"/>
    <w:multiLevelType w:val="hybridMultilevel"/>
    <w:tmpl w:val="2558F6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49C5F06"/>
    <w:multiLevelType w:val="hybridMultilevel"/>
    <w:tmpl w:val="76ECAB48"/>
    <w:lvl w:ilvl="0" w:tplc="A5E6D2E0">
      <w:start w:val="1"/>
      <w:numFmt w:val="bullet"/>
      <w:lvlText w:val="-"/>
      <w:lvlJc w:val="left"/>
      <w:pPr>
        <w:tabs>
          <w:tab w:val="num" w:pos="72"/>
        </w:tabs>
        <w:ind w:left="216" w:hanging="216"/>
      </w:pPr>
      <w:rPr>
        <w:rFonts w:ascii="SimSun" w:eastAsia="SimSun" w:hAnsi="SimSun" w:hint="eastAsia"/>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4">
    <w:nsid w:val="749F524D"/>
    <w:multiLevelType w:val="hybridMultilevel"/>
    <w:tmpl w:val="96F0DE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E71CE8"/>
    <w:multiLevelType w:val="hybridMultilevel"/>
    <w:tmpl w:val="A74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37"/>
  </w:num>
  <w:num w:numId="4">
    <w:abstractNumId w:val="18"/>
  </w:num>
  <w:num w:numId="5">
    <w:abstractNumId w:val="2"/>
  </w:num>
  <w:num w:numId="6">
    <w:abstractNumId w:val="4"/>
  </w:num>
  <w:num w:numId="7">
    <w:abstractNumId w:val="27"/>
  </w:num>
  <w:num w:numId="8">
    <w:abstractNumId w:val="32"/>
  </w:num>
  <w:num w:numId="9">
    <w:abstractNumId w:val="3"/>
  </w:num>
  <w:num w:numId="10">
    <w:abstractNumId w:val="11"/>
  </w:num>
  <w:num w:numId="11">
    <w:abstractNumId w:val="19"/>
  </w:num>
  <w:num w:numId="12">
    <w:abstractNumId w:val="41"/>
  </w:num>
  <w:num w:numId="13">
    <w:abstractNumId w:val="28"/>
  </w:num>
  <w:num w:numId="14">
    <w:abstractNumId w:val="20"/>
  </w:num>
  <w:num w:numId="15">
    <w:abstractNumId w:val="7"/>
  </w:num>
  <w:num w:numId="16">
    <w:abstractNumId w:val="40"/>
  </w:num>
  <w:num w:numId="17">
    <w:abstractNumId w:val="9"/>
  </w:num>
  <w:num w:numId="18">
    <w:abstractNumId w:val="36"/>
  </w:num>
  <w:num w:numId="19">
    <w:abstractNumId w:val="0"/>
  </w:num>
  <w:num w:numId="20">
    <w:abstractNumId w:val="38"/>
  </w:num>
  <w:num w:numId="21">
    <w:abstractNumId w:val="22"/>
  </w:num>
  <w:num w:numId="22">
    <w:abstractNumId w:val="5"/>
  </w:num>
  <w:num w:numId="23">
    <w:abstractNumId w:val="39"/>
  </w:num>
  <w:num w:numId="24">
    <w:abstractNumId w:val="29"/>
  </w:num>
  <w:num w:numId="25">
    <w:abstractNumId w:val="25"/>
  </w:num>
  <w:num w:numId="26">
    <w:abstractNumId w:val="43"/>
  </w:num>
  <w:num w:numId="27">
    <w:abstractNumId w:val="23"/>
  </w:num>
  <w:num w:numId="28">
    <w:abstractNumId w:val="15"/>
  </w:num>
  <w:num w:numId="29">
    <w:abstractNumId w:val="21"/>
  </w:num>
  <w:num w:numId="30">
    <w:abstractNumId w:val="13"/>
  </w:num>
  <w:num w:numId="31">
    <w:abstractNumId w:val="31"/>
  </w:num>
  <w:num w:numId="32">
    <w:abstractNumId w:val="6"/>
  </w:num>
  <w:num w:numId="33">
    <w:abstractNumId w:val="1"/>
  </w:num>
  <w:num w:numId="34">
    <w:abstractNumId w:val="35"/>
  </w:num>
  <w:num w:numId="35">
    <w:abstractNumId w:val="16"/>
  </w:num>
  <w:num w:numId="36">
    <w:abstractNumId w:val="14"/>
  </w:num>
  <w:num w:numId="37">
    <w:abstractNumId w:val="30"/>
  </w:num>
  <w:num w:numId="38">
    <w:abstractNumId w:val="8"/>
  </w:num>
  <w:num w:numId="39">
    <w:abstractNumId w:val="45"/>
  </w:num>
  <w:num w:numId="40">
    <w:abstractNumId w:val="44"/>
  </w:num>
  <w:num w:numId="41">
    <w:abstractNumId w:val="42"/>
  </w:num>
  <w:num w:numId="42">
    <w:abstractNumId w:val="24"/>
  </w:num>
  <w:num w:numId="43">
    <w:abstractNumId w:val="12"/>
  </w:num>
  <w:num w:numId="44">
    <w:abstractNumId w:val="33"/>
  </w:num>
  <w:num w:numId="45">
    <w:abstractNumId w:val="10"/>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10"/>
    <w:rsid w:val="0001064E"/>
    <w:rsid w:val="0001794F"/>
    <w:rsid w:val="0002567C"/>
    <w:rsid w:val="000472DE"/>
    <w:rsid w:val="000550D4"/>
    <w:rsid w:val="0006209C"/>
    <w:rsid w:val="00063758"/>
    <w:rsid w:val="00066D44"/>
    <w:rsid w:val="00077AEC"/>
    <w:rsid w:val="000B6900"/>
    <w:rsid w:val="000E3B96"/>
    <w:rsid w:val="00107495"/>
    <w:rsid w:val="00107A61"/>
    <w:rsid w:val="001214FC"/>
    <w:rsid w:val="00142AEC"/>
    <w:rsid w:val="00167842"/>
    <w:rsid w:val="00183958"/>
    <w:rsid w:val="001B16C5"/>
    <w:rsid w:val="001B32E5"/>
    <w:rsid w:val="001D3A5D"/>
    <w:rsid w:val="001D4521"/>
    <w:rsid w:val="001F5779"/>
    <w:rsid w:val="002108BA"/>
    <w:rsid w:val="00217C81"/>
    <w:rsid w:val="002412CC"/>
    <w:rsid w:val="00245FB4"/>
    <w:rsid w:val="00254B47"/>
    <w:rsid w:val="00276785"/>
    <w:rsid w:val="00294179"/>
    <w:rsid w:val="002B1E63"/>
    <w:rsid w:val="002B22BD"/>
    <w:rsid w:val="002C4C88"/>
    <w:rsid w:val="002C5095"/>
    <w:rsid w:val="002D53F4"/>
    <w:rsid w:val="002E4D48"/>
    <w:rsid w:val="002F5730"/>
    <w:rsid w:val="00302229"/>
    <w:rsid w:val="0030234D"/>
    <w:rsid w:val="00323524"/>
    <w:rsid w:val="00342E43"/>
    <w:rsid w:val="00360C3D"/>
    <w:rsid w:val="00377482"/>
    <w:rsid w:val="00380EFB"/>
    <w:rsid w:val="00395932"/>
    <w:rsid w:val="003A3CFF"/>
    <w:rsid w:val="003A5A18"/>
    <w:rsid w:val="003D4894"/>
    <w:rsid w:val="003F715B"/>
    <w:rsid w:val="0040047C"/>
    <w:rsid w:val="004159FA"/>
    <w:rsid w:val="0043744F"/>
    <w:rsid w:val="00441CCC"/>
    <w:rsid w:val="00441F09"/>
    <w:rsid w:val="00464FB8"/>
    <w:rsid w:val="00470CFE"/>
    <w:rsid w:val="00490498"/>
    <w:rsid w:val="004A6680"/>
    <w:rsid w:val="004C35CD"/>
    <w:rsid w:val="004D2F1A"/>
    <w:rsid w:val="004D4DE9"/>
    <w:rsid w:val="004F31E4"/>
    <w:rsid w:val="004F44C0"/>
    <w:rsid w:val="00522143"/>
    <w:rsid w:val="00541486"/>
    <w:rsid w:val="00545908"/>
    <w:rsid w:val="0055532E"/>
    <w:rsid w:val="00556E7B"/>
    <w:rsid w:val="00563CBA"/>
    <w:rsid w:val="0057421D"/>
    <w:rsid w:val="005B19E6"/>
    <w:rsid w:val="005B37F6"/>
    <w:rsid w:val="005C1241"/>
    <w:rsid w:val="005E3715"/>
    <w:rsid w:val="005E6801"/>
    <w:rsid w:val="005E7F7D"/>
    <w:rsid w:val="005F71B6"/>
    <w:rsid w:val="0061587C"/>
    <w:rsid w:val="00642FB6"/>
    <w:rsid w:val="00650022"/>
    <w:rsid w:val="006536DA"/>
    <w:rsid w:val="00660EE0"/>
    <w:rsid w:val="0067232A"/>
    <w:rsid w:val="006841F0"/>
    <w:rsid w:val="006A2F9F"/>
    <w:rsid w:val="006D5542"/>
    <w:rsid w:val="006E070B"/>
    <w:rsid w:val="006E080C"/>
    <w:rsid w:val="006E181E"/>
    <w:rsid w:val="006E438D"/>
    <w:rsid w:val="00703F46"/>
    <w:rsid w:val="00715FA6"/>
    <w:rsid w:val="0072583B"/>
    <w:rsid w:val="00733202"/>
    <w:rsid w:val="00772DA2"/>
    <w:rsid w:val="007862AE"/>
    <w:rsid w:val="00794561"/>
    <w:rsid w:val="00797ECF"/>
    <w:rsid w:val="007D4C4A"/>
    <w:rsid w:val="007F0DD3"/>
    <w:rsid w:val="00814E12"/>
    <w:rsid w:val="0081533E"/>
    <w:rsid w:val="00820786"/>
    <w:rsid w:val="00834CC5"/>
    <w:rsid w:val="0085688F"/>
    <w:rsid w:val="00860B33"/>
    <w:rsid w:val="008B5E43"/>
    <w:rsid w:val="008C5639"/>
    <w:rsid w:val="008D027D"/>
    <w:rsid w:val="008E6CB7"/>
    <w:rsid w:val="0090212D"/>
    <w:rsid w:val="00902823"/>
    <w:rsid w:val="00915BD1"/>
    <w:rsid w:val="009224CC"/>
    <w:rsid w:val="00945D7D"/>
    <w:rsid w:val="009475AC"/>
    <w:rsid w:val="00953B57"/>
    <w:rsid w:val="0099370D"/>
    <w:rsid w:val="009B093C"/>
    <w:rsid w:val="009B6D86"/>
    <w:rsid w:val="009C2946"/>
    <w:rsid w:val="00A0747D"/>
    <w:rsid w:val="00A15325"/>
    <w:rsid w:val="00A26395"/>
    <w:rsid w:val="00A51522"/>
    <w:rsid w:val="00A52C4C"/>
    <w:rsid w:val="00A6025B"/>
    <w:rsid w:val="00A63671"/>
    <w:rsid w:val="00A63910"/>
    <w:rsid w:val="00A8328C"/>
    <w:rsid w:val="00AA4B99"/>
    <w:rsid w:val="00AB5B54"/>
    <w:rsid w:val="00AC1F16"/>
    <w:rsid w:val="00AF40AF"/>
    <w:rsid w:val="00AF7BA8"/>
    <w:rsid w:val="00B25BB5"/>
    <w:rsid w:val="00B26FBC"/>
    <w:rsid w:val="00B44C37"/>
    <w:rsid w:val="00B541B9"/>
    <w:rsid w:val="00B57B37"/>
    <w:rsid w:val="00B67A16"/>
    <w:rsid w:val="00BA4C73"/>
    <w:rsid w:val="00BA5D86"/>
    <w:rsid w:val="00BC49CB"/>
    <w:rsid w:val="00BF62D3"/>
    <w:rsid w:val="00C03336"/>
    <w:rsid w:val="00C35832"/>
    <w:rsid w:val="00C437B9"/>
    <w:rsid w:val="00C4486E"/>
    <w:rsid w:val="00C554D5"/>
    <w:rsid w:val="00C55E76"/>
    <w:rsid w:val="00C5632A"/>
    <w:rsid w:val="00C818D6"/>
    <w:rsid w:val="00CA04F7"/>
    <w:rsid w:val="00CA45F1"/>
    <w:rsid w:val="00CA478B"/>
    <w:rsid w:val="00CA5AC4"/>
    <w:rsid w:val="00CA6A72"/>
    <w:rsid w:val="00CB3698"/>
    <w:rsid w:val="00CB43E7"/>
    <w:rsid w:val="00CC69E6"/>
    <w:rsid w:val="00CE5C59"/>
    <w:rsid w:val="00CE6E79"/>
    <w:rsid w:val="00CE78CA"/>
    <w:rsid w:val="00CE7D45"/>
    <w:rsid w:val="00CF4AA9"/>
    <w:rsid w:val="00D20F33"/>
    <w:rsid w:val="00D41FD3"/>
    <w:rsid w:val="00D6296C"/>
    <w:rsid w:val="00D80E33"/>
    <w:rsid w:val="00D93438"/>
    <w:rsid w:val="00D959C2"/>
    <w:rsid w:val="00DA6FA3"/>
    <w:rsid w:val="00DB27E1"/>
    <w:rsid w:val="00DB27FA"/>
    <w:rsid w:val="00DB38C5"/>
    <w:rsid w:val="00DC1CB5"/>
    <w:rsid w:val="00DF069F"/>
    <w:rsid w:val="00DF2CAC"/>
    <w:rsid w:val="00E10BBB"/>
    <w:rsid w:val="00E27C33"/>
    <w:rsid w:val="00E40B2D"/>
    <w:rsid w:val="00E40B88"/>
    <w:rsid w:val="00E419D8"/>
    <w:rsid w:val="00E528A0"/>
    <w:rsid w:val="00E52C85"/>
    <w:rsid w:val="00E601B7"/>
    <w:rsid w:val="00E713C2"/>
    <w:rsid w:val="00E80C7E"/>
    <w:rsid w:val="00E845EF"/>
    <w:rsid w:val="00E95A54"/>
    <w:rsid w:val="00EA609D"/>
    <w:rsid w:val="00EB0CC8"/>
    <w:rsid w:val="00EB3DF6"/>
    <w:rsid w:val="00EE1EE8"/>
    <w:rsid w:val="00EF3BDC"/>
    <w:rsid w:val="00EF709A"/>
    <w:rsid w:val="00EF7220"/>
    <w:rsid w:val="00F028F6"/>
    <w:rsid w:val="00F10DB0"/>
    <w:rsid w:val="00F21ABC"/>
    <w:rsid w:val="00F274F7"/>
    <w:rsid w:val="00F47CE7"/>
    <w:rsid w:val="00F5110C"/>
    <w:rsid w:val="00F53A6A"/>
    <w:rsid w:val="00F6100C"/>
    <w:rsid w:val="00F71445"/>
    <w:rsid w:val="00F72718"/>
    <w:rsid w:val="00F738DB"/>
    <w:rsid w:val="00F82E7B"/>
    <w:rsid w:val="00F831E2"/>
    <w:rsid w:val="00F915E9"/>
    <w:rsid w:val="00F93266"/>
    <w:rsid w:val="00FB0725"/>
    <w:rsid w:val="00FC06EC"/>
    <w:rsid w:val="00FC2C9A"/>
    <w:rsid w:val="00FC7C1E"/>
    <w:rsid w:val="00FD6B9D"/>
    <w:rsid w:val="00FE3679"/>
    <w:rsid w:val="00FF5C7F"/>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8F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paragraph" w:styleId="Header">
    <w:name w:val="header"/>
    <w:basedOn w:val="Normal"/>
    <w:link w:val="HeaderChar"/>
    <w:uiPriority w:val="99"/>
    <w:rsid w:val="00EF709A"/>
    <w:pPr>
      <w:tabs>
        <w:tab w:val="center" w:pos="4680"/>
        <w:tab w:val="right" w:pos="9360"/>
      </w:tabs>
    </w:pPr>
  </w:style>
  <w:style w:type="character" w:customStyle="1" w:styleId="HeaderChar">
    <w:name w:val="Header Char"/>
    <w:basedOn w:val="DefaultParagraphFont"/>
    <w:link w:val="Header"/>
    <w:uiPriority w:val="99"/>
    <w:rsid w:val="00EF709A"/>
    <w:rPr>
      <w:sz w:val="24"/>
      <w:szCs w:val="24"/>
    </w:rPr>
  </w:style>
  <w:style w:type="paragraph" w:styleId="Footer">
    <w:name w:val="footer"/>
    <w:basedOn w:val="Normal"/>
    <w:link w:val="FooterChar"/>
    <w:uiPriority w:val="99"/>
    <w:rsid w:val="00EF709A"/>
    <w:pPr>
      <w:tabs>
        <w:tab w:val="center" w:pos="4680"/>
        <w:tab w:val="right" w:pos="9360"/>
      </w:tabs>
    </w:pPr>
  </w:style>
  <w:style w:type="character" w:customStyle="1" w:styleId="FooterChar">
    <w:name w:val="Footer Char"/>
    <w:basedOn w:val="DefaultParagraphFont"/>
    <w:link w:val="Footer"/>
    <w:uiPriority w:val="99"/>
    <w:rsid w:val="00EF709A"/>
    <w:rPr>
      <w:sz w:val="24"/>
      <w:szCs w:val="24"/>
    </w:rPr>
  </w:style>
  <w:style w:type="paragraph" w:styleId="NormalWeb">
    <w:name w:val="Normal (Web)"/>
    <w:basedOn w:val="Normal"/>
    <w:uiPriority w:val="99"/>
    <w:unhideWhenUsed/>
    <w:rsid w:val="00642FB6"/>
    <w:pPr>
      <w:spacing w:before="100" w:beforeAutospacing="1" w:after="100" w:afterAutospacing="1"/>
    </w:pPr>
  </w:style>
  <w:style w:type="character" w:styleId="Emphasis">
    <w:name w:val="Emphasis"/>
    <w:basedOn w:val="DefaultParagraphFont"/>
    <w:uiPriority w:val="20"/>
    <w:qFormat/>
    <w:rsid w:val="00642FB6"/>
    <w:rPr>
      <w:i/>
      <w:iCs/>
    </w:rPr>
  </w:style>
  <w:style w:type="paragraph" w:styleId="FootnoteText">
    <w:name w:val="footnote text"/>
    <w:basedOn w:val="Normal"/>
    <w:link w:val="FootnoteTextChar"/>
    <w:rsid w:val="006A2F9F"/>
  </w:style>
  <w:style w:type="character" w:customStyle="1" w:styleId="FootnoteTextChar">
    <w:name w:val="Footnote Text Char"/>
    <w:basedOn w:val="DefaultParagraphFont"/>
    <w:link w:val="FootnoteText"/>
    <w:rsid w:val="006A2F9F"/>
    <w:rPr>
      <w:sz w:val="24"/>
      <w:szCs w:val="24"/>
    </w:rPr>
  </w:style>
  <w:style w:type="character" w:styleId="FootnoteReference">
    <w:name w:val="footnote reference"/>
    <w:basedOn w:val="DefaultParagraphFont"/>
    <w:rsid w:val="006A2F9F"/>
    <w:rPr>
      <w:vertAlign w:val="superscript"/>
    </w:rPr>
  </w:style>
  <w:style w:type="paragraph" w:styleId="CommentText">
    <w:name w:val="annotation text"/>
    <w:basedOn w:val="Normal"/>
    <w:link w:val="CommentTextChar"/>
    <w:uiPriority w:val="99"/>
    <w:unhideWhenUsed/>
    <w:rsid w:val="00556E7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56E7B"/>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paragraph" w:styleId="Header">
    <w:name w:val="header"/>
    <w:basedOn w:val="Normal"/>
    <w:link w:val="HeaderChar"/>
    <w:uiPriority w:val="99"/>
    <w:rsid w:val="00EF709A"/>
    <w:pPr>
      <w:tabs>
        <w:tab w:val="center" w:pos="4680"/>
        <w:tab w:val="right" w:pos="9360"/>
      </w:tabs>
    </w:pPr>
  </w:style>
  <w:style w:type="character" w:customStyle="1" w:styleId="HeaderChar">
    <w:name w:val="Header Char"/>
    <w:basedOn w:val="DefaultParagraphFont"/>
    <w:link w:val="Header"/>
    <w:uiPriority w:val="99"/>
    <w:rsid w:val="00EF709A"/>
    <w:rPr>
      <w:sz w:val="24"/>
      <w:szCs w:val="24"/>
    </w:rPr>
  </w:style>
  <w:style w:type="paragraph" w:styleId="Footer">
    <w:name w:val="footer"/>
    <w:basedOn w:val="Normal"/>
    <w:link w:val="FooterChar"/>
    <w:uiPriority w:val="99"/>
    <w:rsid w:val="00EF709A"/>
    <w:pPr>
      <w:tabs>
        <w:tab w:val="center" w:pos="4680"/>
        <w:tab w:val="right" w:pos="9360"/>
      </w:tabs>
    </w:pPr>
  </w:style>
  <w:style w:type="character" w:customStyle="1" w:styleId="FooterChar">
    <w:name w:val="Footer Char"/>
    <w:basedOn w:val="DefaultParagraphFont"/>
    <w:link w:val="Footer"/>
    <w:uiPriority w:val="99"/>
    <w:rsid w:val="00EF709A"/>
    <w:rPr>
      <w:sz w:val="24"/>
      <w:szCs w:val="24"/>
    </w:rPr>
  </w:style>
  <w:style w:type="paragraph" w:styleId="NormalWeb">
    <w:name w:val="Normal (Web)"/>
    <w:basedOn w:val="Normal"/>
    <w:uiPriority w:val="99"/>
    <w:unhideWhenUsed/>
    <w:rsid w:val="00642FB6"/>
    <w:pPr>
      <w:spacing w:before="100" w:beforeAutospacing="1" w:after="100" w:afterAutospacing="1"/>
    </w:pPr>
  </w:style>
  <w:style w:type="character" w:styleId="Emphasis">
    <w:name w:val="Emphasis"/>
    <w:basedOn w:val="DefaultParagraphFont"/>
    <w:uiPriority w:val="20"/>
    <w:qFormat/>
    <w:rsid w:val="00642FB6"/>
    <w:rPr>
      <w:i/>
      <w:iCs/>
    </w:rPr>
  </w:style>
  <w:style w:type="paragraph" w:styleId="FootnoteText">
    <w:name w:val="footnote text"/>
    <w:basedOn w:val="Normal"/>
    <w:link w:val="FootnoteTextChar"/>
    <w:rsid w:val="006A2F9F"/>
  </w:style>
  <w:style w:type="character" w:customStyle="1" w:styleId="FootnoteTextChar">
    <w:name w:val="Footnote Text Char"/>
    <w:basedOn w:val="DefaultParagraphFont"/>
    <w:link w:val="FootnoteText"/>
    <w:rsid w:val="006A2F9F"/>
    <w:rPr>
      <w:sz w:val="24"/>
      <w:szCs w:val="24"/>
    </w:rPr>
  </w:style>
  <w:style w:type="character" w:styleId="FootnoteReference">
    <w:name w:val="footnote reference"/>
    <w:basedOn w:val="DefaultParagraphFont"/>
    <w:rsid w:val="006A2F9F"/>
    <w:rPr>
      <w:vertAlign w:val="superscript"/>
    </w:rPr>
  </w:style>
  <w:style w:type="paragraph" w:styleId="CommentText">
    <w:name w:val="annotation text"/>
    <w:basedOn w:val="Normal"/>
    <w:link w:val="CommentTextChar"/>
    <w:uiPriority w:val="99"/>
    <w:unhideWhenUsed/>
    <w:rsid w:val="00556E7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56E7B"/>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7854">
      <w:bodyDiv w:val="1"/>
      <w:marLeft w:val="0"/>
      <w:marRight w:val="0"/>
      <w:marTop w:val="0"/>
      <w:marBottom w:val="0"/>
      <w:divBdr>
        <w:top w:val="none" w:sz="0" w:space="0" w:color="auto"/>
        <w:left w:val="none" w:sz="0" w:space="0" w:color="auto"/>
        <w:bottom w:val="none" w:sz="0" w:space="0" w:color="auto"/>
        <w:right w:val="none" w:sz="0" w:space="0" w:color="auto"/>
      </w:divBdr>
      <w:divsChild>
        <w:div w:id="286157637">
          <w:marLeft w:val="0"/>
          <w:marRight w:val="0"/>
          <w:marTop w:val="0"/>
          <w:marBottom w:val="0"/>
          <w:divBdr>
            <w:top w:val="none" w:sz="0" w:space="0" w:color="auto"/>
            <w:left w:val="none" w:sz="0" w:space="0" w:color="auto"/>
            <w:bottom w:val="none" w:sz="0" w:space="0" w:color="auto"/>
            <w:right w:val="none" w:sz="0" w:space="0" w:color="auto"/>
          </w:divBdr>
        </w:div>
        <w:div w:id="294920368">
          <w:marLeft w:val="0"/>
          <w:marRight w:val="0"/>
          <w:marTop w:val="0"/>
          <w:marBottom w:val="0"/>
          <w:divBdr>
            <w:top w:val="none" w:sz="0" w:space="0" w:color="auto"/>
            <w:left w:val="none" w:sz="0" w:space="0" w:color="auto"/>
            <w:bottom w:val="none" w:sz="0" w:space="0" w:color="auto"/>
            <w:right w:val="none" w:sz="0" w:space="0" w:color="auto"/>
          </w:divBdr>
        </w:div>
        <w:div w:id="303583513">
          <w:marLeft w:val="0"/>
          <w:marRight w:val="0"/>
          <w:marTop w:val="0"/>
          <w:marBottom w:val="0"/>
          <w:divBdr>
            <w:top w:val="none" w:sz="0" w:space="0" w:color="auto"/>
            <w:left w:val="none" w:sz="0" w:space="0" w:color="auto"/>
            <w:bottom w:val="none" w:sz="0" w:space="0" w:color="auto"/>
            <w:right w:val="none" w:sz="0" w:space="0" w:color="auto"/>
          </w:divBdr>
        </w:div>
        <w:div w:id="306201666">
          <w:marLeft w:val="0"/>
          <w:marRight w:val="0"/>
          <w:marTop w:val="0"/>
          <w:marBottom w:val="0"/>
          <w:divBdr>
            <w:top w:val="none" w:sz="0" w:space="0" w:color="auto"/>
            <w:left w:val="none" w:sz="0" w:space="0" w:color="auto"/>
            <w:bottom w:val="none" w:sz="0" w:space="0" w:color="auto"/>
            <w:right w:val="none" w:sz="0" w:space="0" w:color="auto"/>
          </w:divBdr>
        </w:div>
        <w:div w:id="363291445">
          <w:marLeft w:val="0"/>
          <w:marRight w:val="0"/>
          <w:marTop w:val="0"/>
          <w:marBottom w:val="0"/>
          <w:divBdr>
            <w:top w:val="none" w:sz="0" w:space="0" w:color="auto"/>
            <w:left w:val="none" w:sz="0" w:space="0" w:color="auto"/>
            <w:bottom w:val="none" w:sz="0" w:space="0" w:color="auto"/>
            <w:right w:val="none" w:sz="0" w:space="0" w:color="auto"/>
          </w:divBdr>
        </w:div>
        <w:div w:id="421339512">
          <w:marLeft w:val="0"/>
          <w:marRight w:val="0"/>
          <w:marTop w:val="0"/>
          <w:marBottom w:val="0"/>
          <w:divBdr>
            <w:top w:val="none" w:sz="0" w:space="0" w:color="auto"/>
            <w:left w:val="none" w:sz="0" w:space="0" w:color="auto"/>
            <w:bottom w:val="none" w:sz="0" w:space="0" w:color="auto"/>
            <w:right w:val="none" w:sz="0" w:space="0" w:color="auto"/>
          </w:divBdr>
        </w:div>
        <w:div w:id="476799416">
          <w:marLeft w:val="0"/>
          <w:marRight w:val="0"/>
          <w:marTop w:val="0"/>
          <w:marBottom w:val="0"/>
          <w:divBdr>
            <w:top w:val="none" w:sz="0" w:space="0" w:color="auto"/>
            <w:left w:val="none" w:sz="0" w:space="0" w:color="auto"/>
            <w:bottom w:val="none" w:sz="0" w:space="0" w:color="auto"/>
            <w:right w:val="none" w:sz="0" w:space="0" w:color="auto"/>
          </w:divBdr>
        </w:div>
        <w:div w:id="639189812">
          <w:marLeft w:val="0"/>
          <w:marRight w:val="0"/>
          <w:marTop w:val="0"/>
          <w:marBottom w:val="0"/>
          <w:divBdr>
            <w:top w:val="none" w:sz="0" w:space="0" w:color="auto"/>
            <w:left w:val="none" w:sz="0" w:space="0" w:color="auto"/>
            <w:bottom w:val="none" w:sz="0" w:space="0" w:color="auto"/>
            <w:right w:val="none" w:sz="0" w:space="0" w:color="auto"/>
          </w:divBdr>
        </w:div>
        <w:div w:id="811943389">
          <w:marLeft w:val="0"/>
          <w:marRight w:val="0"/>
          <w:marTop w:val="0"/>
          <w:marBottom w:val="0"/>
          <w:divBdr>
            <w:top w:val="none" w:sz="0" w:space="0" w:color="auto"/>
            <w:left w:val="none" w:sz="0" w:space="0" w:color="auto"/>
            <w:bottom w:val="none" w:sz="0" w:space="0" w:color="auto"/>
            <w:right w:val="none" w:sz="0" w:space="0" w:color="auto"/>
          </w:divBdr>
        </w:div>
        <w:div w:id="839662031">
          <w:marLeft w:val="0"/>
          <w:marRight w:val="0"/>
          <w:marTop w:val="0"/>
          <w:marBottom w:val="0"/>
          <w:divBdr>
            <w:top w:val="none" w:sz="0" w:space="0" w:color="auto"/>
            <w:left w:val="none" w:sz="0" w:space="0" w:color="auto"/>
            <w:bottom w:val="none" w:sz="0" w:space="0" w:color="auto"/>
            <w:right w:val="none" w:sz="0" w:space="0" w:color="auto"/>
          </w:divBdr>
        </w:div>
        <w:div w:id="858929483">
          <w:marLeft w:val="0"/>
          <w:marRight w:val="0"/>
          <w:marTop w:val="0"/>
          <w:marBottom w:val="0"/>
          <w:divBdr>
            <w:top w:val="none" w:sz="0" w:space="0" w:color="auto"/>
            <w:left w:val="none" w:sz="0" w:space="0" w:color="auto"/>
            <w:bottom w:val="none" w:sz="0" w:space="0" w:color="auto"/>
            <w:right w:val="none" w:sz="0" w:space="0" w:color="auto"/>
          </w:divBdr>
        </w:div>
        <w:div w:id="960577233">
          <w:marLeft w:val="0"/>
          <w:marRight w:val="0"/>
          <w:marTop w:val="0"/>
          <w:marBottom w:val="0"/>
          <w:divBdr>
            <w:top w:val="none" w:sz="0" w:space="0" w:color="auto"/>
            <w:left w:val="none" w:sz="0" w:space="0" w:color="auto"/>
            <w:bottom w:val="none" w:sz="0" w:space="0" w:color="auto"/>
            <w:right w:val="none" w:sz="0" w:space="0" w:color="auto"/>
          </w:divBdr>
        </w:div>
        <w:div w:id="1125925336">
          <w:marLeft w:val="0"/>
          <w:marRight w:val="0"/>
          <w:marTop w:val="0"/>
          <w:marBottom w:val="0"/>
          <w:divBdr>
            <w:top w:val="none" w:sz="0" w:space="0" w:color="auto"/>
            <w:left w:val="none" w:sz="0" w:space="0" w:color="auto"/>
            <w:bottom w:val="none" w:sz="0" w:space="0" w:color="auto"/>
            <w:right w:val="none" w:sz="0" w:space="0" w:color="auto"/>
          </w:divBdr>
        </w:div>
        <w:div w:id="1163161058">
          <w:marLeft w:val="0"/>
          <w:marRight w:val="0"/>
          <w:marTop w:val="0"/>
          <w:marBottom w:val="0"/>
          <w:divBdr>
            <w:top w:val="none" w:sz="0" w:space="0" w:color="auto"/>
            <w:left w:val="none" w:sz="0" w:space="0" w:color="auto"/>
            <w:bottom w:val="none" w:sz="0" w:space="0" w:color="auto"/>
            <w:right w:val="none" w:sz="0" w:space="0" w:color="auto"/>
          </w:divBdr>
        </w:div>
        <w:div w:id="1219629405">
          <w:marLeft w:val="0"/>
          <w:marRight w:val="0"/>
          <w:marTop w:val="0"/>
          <w:marBottom w:val="0"/>
          <w:divBdr>
            <w:top w:val="none" w:sz="0" w:space="0" w:color="auto"/>
            <w:left w:val="none" w:sz="0" w:space="0" w:color="auto"/>
            <w:bottom w:val="none" w:sz="0" w:space="0" w:color="auto"/>
            <w:right w:val="none" w:sz="0" w:space="0" w:color="auto"/>
          </w:divBdr>
        </w:div>
        <w:div w:id="1384789182">
          <w:marLeft w:val="0"/>
          <w:marRight w:val="0"/>
          <w:marTop w:val="0"/>
          <w:marBottom w:val="0"/>
          <w:divBdr>
            <w:top w:val="none" w:sz="0" w:space="0" w:color="auto"/>
            <w:left w:val="none" w:sz="0" w:space="0" w:color="auto"/>
            <w:bottom w:val="none" w:sz="0" w:space="0" w:color="auto"/>
            <w:right w:val="none" w:sz="0" w:space="0" w:color="auto"/>
          </w:divBdr>
        </w:div>
        <w:div w:id="1390953580">
          <w:marLeft w:val="0"/>
          <w:marRight w:val="0"/>
          <w:marTop w:val="0"/>
          <w:marBottom w:val="0"/>
          <w:divBdr>
            <w:top w:val="none" w:sz="0" w:space="0" w:color="auto"/>
            <w:left w:val="none" w:sz="0" w:space="0" w:color="auto"/>
            <w:bottom w:val="none" w:sz="0" w:space="0" w:color="auto"/>
            <w:right w:val="none" w:sz="0" w:space="0" w:color="auto"/>
          </w:divBdr>
        </w:div>
        <w:div w:id="1400405185">
          <w:marLeft w:val="0"/>
          <w:marRight w:val="0"/>
          <w:marTop w:val="0"/>
          <w:marBottom w:val="0"/>
          <w:divBdr>
            <w:top w:val="none" w:sz="0" w:space="0" w:color="auto"/>
            <w:left w:val="none" w:sz="0" w:space="0" w:color="auto"/>
            <w:bottom w:val="none" w:sz="0" w:space="0" w:color="auto"/>
            <w:right w:val="none" w:sz="0" w:space="0" w:color="auto"/>
          </w:divBdr>
        </w:div>
        <w:div w:id="1413745350">
          <w:marLeft w:val="0"/>
          <w:marRight w:val="0"/>
          <w:marTop w:val="0"/>
          <w:marBottom w:val="0"/>
          <w:divBdr>
            <w:top w:val="none" w:sz="0" w:space="0" w:color="auto"/>
            <w:left w:val="none" w:sz="0" w:space="0" w:color="auto"/>
            <w:bottom w:val="none" w:sz="0" w:space="0" w:color="auto"/>
            <w:right w:val="none" w:sz="0" w:space="0" w:color="auto"/>
          </w:divBdr>
        </w:div>
        <w:div w:id="1583175121">
          <w:marLeft w:val="0"/>
          <w:marRight w:val="0"/>
          <w:marTop w:val="0"/>
          <w:marBottom w:val="0"/>
          <w:divBdr>
            <w:top w:val="none" w:sz="0" w:space="0" w:color="auto"/>
            <w:left w:val="none" w:sz="0" w:space="0" w:color="auto"/>
            <w:bottom w:val="none" w:sz="0" w:space="0" w:color="auto"/>
            <w:right w:val="none" w:sz="0" w:space="0" w:color="auto"/>
          </w:divBdr>
        </w:div>
        <w:div w:id="1726878478">
          <w:marLeft w:val="0"/>
          <w:marRight w:val="0"/>
          <w:marTop w:val="0"/>
          <w:marBottom w:val="0"/>
          <w:divBdr>
            <w:top w:val="none" w:sz="0" w:space="0" w:color="auto"/>
            <w:left w:val="none" w:sz="0" w:space="0" w:color="auto"/>
            <w:bottom w:val="none" w:sz="0" w:space="0" w:color="auto"/>
            <w:right w:val="none" w:sz="0" w:space="0" w:color="auto"/>
          </w:divBdr>
        </w:div>
        <w:div w:id="1807506097">
          <w:marLeft w:val="0"/>
          <w:marRight w:val="0"/>
          <w:marTop w:val="0"/>
          <w:marBottom w:val="0"/>
          <w:divBdr>
            <w:top w:val="none" w:sz="0" w:space="0" w:color="auto"/>
            <w:left w:val="none" w:sz="0" w:space="0" w:color="auto"/>
            <w:bottom w:val="none" w:sz="0" w:space="0" w:color="auto"/>
            <w:right w:val="none" w:sz="0" w:space="0" w:color="auto"/>
          </w:divBdr>
        </w:div>
        <w:div w:id="1838299782">
          <w:marLeft w:val="0"/>
          <w:marRight w:val="0"/>
          <w:marTop w:val="0"/>
          <w:marBottom w:val="0"/>
          <w:divBdr>
            <w:top w:val="none" w:sz="0" w:space="0" w:color="auto"/>
            <w:left w:val="none" w:sz="0" w:space="0" w:color="auto"/>
            <w:bottom w:val="none" w:sz="0" w:space="0" w:color="auto"/>
            <w:right w:val="none" w:sz="0" w:space="0" w:color="auto"/>
          </w:divBdr>
        </w:div>
        <w:div w:id="1899708053">
          <w:marLeft w:val="0"/>
          <w:marRight w:val="0"/>
          <w:marTop w:val="0"/>
          <w:marBottom w:val="0"/>
          <w:divBdr>
            <w:top w:val="none" w:sz="0" w:space="0" w:color="auto"/>
            <w:left w:val="none" w:sz="0" w:space="0" w:color="auto"/>
            <w:bottom w:val="none" w:sz="0" w:space="0" w:color="auto"/>
            <w:right w:val="none" w:sz="0" w:space="0" w:color="auto"/>
          </w:divBdr>
        </w:div>
        <w:div w:id="1916164899">
          <w:marLeft w:val="0"/>
          <w:marRight w:val="0"/>
          <w:marTop w:val="0"/>
          <w:marBottom w:val="0"/>
          <w:divBdr>
            <w:top w:val="none" w:sz="0" w:space="0" w:color="auto"/>
            <w:left w:val="none" w:sz="0" w:space="0" w:color="auto"/>
            <w:bottom w:val="none" w:sz="0" w:space="0" w:color="auto"/>
            <w:right w:val="none" w:sz="0" w:space="0" w:color="auto"/>
          </w:divBdr>
        </w:div>
        <w:div w:id="2025663022">
          <w:marLeft w:val="0"/>
          <w:marRight w:val="0"/>
          <w:marTop w:val="0"/>
          <w:marBottom w:val="0"/>
          <w:divBdr>
            <w:top w:val="none" w:sz="0" w:space="0" w:color="auto"/>
            <w:left w:val="none" w:sz="0" w:space="0" w:color="auto"/>
            <w:bottom w:val="none" w:sz="0" w:space="0" w:color="auto"/>
            <w:right w:val="none" w:sz="0" w:space="0" w:color="auto"/>
          </w:divBdr>
        </w:div>
      </w:divsChild>
    </w:div>
    <w:div w:id="1119645832">
      <w:bodyDiv w:val="1"/>
      <w:marLeft w:val="0"/>
      <w:marRight w:val="0"/>
      <w:marTop w:val="0"/>
      <w:marBottom w:val="0"/>
      <w:divBdr>
        <w:top w:val="none" w:sz="0" w:space="0" w:color="auto"/>
        <w:left w:val="none" w:sz="0" w:space="0" w:color="auto"/>
        <w:bottom w:val="none" w:sz="0" w:space="0" w:color="auto"/>
        <w:right w:val="none" w:sz="0" w:space="0" w:color="auto"/>
      </w:divBdr>
    </w:div>
    <w:div w:id="19841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fs.fed.us/emc/rig/protocols/mas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7D11-49B5-7E49-A799-36AC6DC4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6354</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Organization</vt:lpstr>
    </vt:vector>
  </TitlesOfParts>
  <Company>METI, Inc.</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Steve J. Solem</dc:creator>
  <cp:lastModifiedBy>Steve Solem</cp:lastModifiedBy>
  <cp:revision>2</cp:revision>
  <cp:lastPrinted>2011-12-08T18:54:00Z</cp:lastPrinted>
  <dcterms:created xsi:type="dcterms:W3CDTF">2012-07-01T11:59:00Z</dcterms:created>
  <dcterms:modified xsi:type="dcterms:W3CDTF">2012-07-01T11:59:00Z</dcterms:modified>
</cp:coreProperties>
</file>