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A51B7" w14:textId="77777777" w:rsidR="00B57B37" w:rsidRDefault="00291638">
      <w:r>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14:anchorId="26ADC7B3" wp14:editId="73D2D8C5">
                <wp:simplePos x="0" y="0"/>
                <wp:positionH relativeFrom="column">
                  <wp:posOffset>0</wp:posOffset>
                </wp:positionH>
                <wp:positionV relativeFrom="paragraph">
                  <wp:posOffset>228600</wp:posOffset>
                </wp:positionV>
                <wp:extent cx="5829300" cy="571500"/>
                <wp:effectExtent l="0" t="0" r="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C2A4C" w14:textId="77777777" w:rsidR="00246272" w:rsidRPr="00461F4D" w:rsidRDefault="00246272" w:rsidP="00461F4D">
                            <w:pPr>
                              <w:jc w:val="center"/>
                              <w:rPr>
                                <w:rFonts w:ascii="Arial" w:hAnsi="Arial" w:cs="Arial"/>
                                <w:b/>
                                <w:i/>
                                <w:sz w:val="32"/>
                                <w:szCs w:val="28"/>
                              </w:rPr>
                            </w:pPr>
                            <w:r w:rsidRPr="00461F4D">
                              <w:rPr>
                                <w:rFonts w:ascii="Arial" w:hAnsi="Arial" w:cs="Arial"/>
                                <w:b/>
                                <w:i/>
                                <w:sz w:val="32"/>
                                <w:szCs w:val="28"/>
                              </w:rPr>
                              <w:t>Groundwater Technical Guide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18pt;width:45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Wpu7MCAAC5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" filled="f" stroked="f">
                <v:textbox>
                  <w:txbxContent>
                    <w:p w14:paraId="327C2A4C" w14:textId="77777777" w:rsidR="00246272" w:rsidRPr="00461F4D" w:rsidRDefault="00246272" w:rsidP="00461F4D">
                      <w:pPr>
                        <w:jc w:val="center"/>
                        <w:rPr>
                          <w:rFonts w:ascii="Arial" w:hAnsi="Arial" w:cs="Arial"/>
                          <w:b/>
                          <w:i/>
                          <w:sz w:val="32"/>
                          <w:szCs w:val="28"/>
                        </w:rPr>
                      </w:pPr>
                      <w:r w:rsidRPr="00461F4D">
                        <w:rPr>
                          <w:rFonts w:ascii="Arial" w:hAnsi="Arial" w:cs="Arial"/>
                          <w:b/>
                          <w:i/>
                          <w:sz w:val="32"/>
                          <w:szCs w:val="28"/>
                        </w:rPr>
                        <w:t>Groundwater Technical Guide Development</w:t>
                      </w:r>
                    </w:p>
                  </w:txbxContent>
                </v:textbox>
              </v:shape>
            </w:pict>
          </mc:Fallback>
        </mc:AlternateContent>
      </w:r>
      <w:r w:rsidR="006D0A35" w:rsidRPr="00C263E1">
        <w:rPr>
          <w:rFonts w:asciiTheme="minorHAnsi" w:hAnsiTheme="minorHAnsi"/>
          <w:noProof/>
          <w:sz w:val="28"/>
        </w:rPr>
        <w:drawing>
          <wp:inline distT="0" distB="0" distL="0" distR="0" wp14:anchorId="7AD2E6FD" wp14:editId="07F467A2">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8"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6FCDA30F" w14:textId="77777777" w:rsidR="00783DBD" w:rsidRDefault="00783DBD" w:rsidP="00783DBD">
      <w:pPr>
        <w:spacing w:before="240"/>
        <w:rPr>
          <w:rFonts w:asciiTheme="minorHAnsi" w:hAnsiTheme="minorHAnsi" w:cs="Arial"/>
          <w:sz w:val="22"/>
        </w:rPr>
      </w:pPr>
      <w:r w:rsidRPr="00CE2176">
        <w:rPr>
          <w:rFonts w:asciiTheme="minorHAnsi" w:hAnsiTheme="minorHAnsi" w:cs="Arial"/>
          <w:b/>
          <w:sz w:val="22"/>
        </w:rPr>
        <w:t>Date:</w:t>
      </w:r>
      <w:r w:rsidRPr="00CE2176">
        <w:rPr>
          <w:rFonts w:asciiTheme="minorHAnsi" w:hAnsiTheme="minorHAnsi" w:cs="Arial"/>
          <w:sz w:val="22"/>
        </w:rPr>
        <w:t xml:space="preserve"> </w:t>
      </w:r>
      <w:r w:rsidRPr="00783DBD">
        <w:rPr>
          <w:rFonts w:asciiTheme="minorHAnsi" w:hAnsiTheme="minorHAnsi" w:cs="Arial"/>
          <w:sz w:val="22"/>
        </w:rPr>
        <w:t>January 23, 2014</w:t>
      </w:r>
    </w:p>
    <w:p w14:paraId="3EF55E86" w14:textId="77777777" w:rsidR="00783DBD" w:rsidRPr="00783DBD" w:rsidRDefault="00783DBD" w:rsidP="00783DBD">
      <w:pPr>
        <w:spacing w:after="240"/>
        <w:rPr>
          <w:rFonts w:asciiTheme="minorHAnsi" w:hAnsiTheme="minorHAnsi" w:cs="Arial"/>
          <w:b/>
          <w:sz w:val="22"/>
          <w:szCs w:val="22"/>
        </w:rPr>
      </w:pPr>
      <w:r w:rsidRPr="0002368D">
        <w:rPr>
          <w:rFonts w:asciiTheme="minorHAnsi" w:hAnsiTheme="minorHAnsi" w:cs="Arial"/>
          <w:b/>
          <w:sz w:val="22"/>
          <w:szCs w:val="22"/>
        </w:rPr>
        <w:t>Subject:</w:t>
      </w:r>
      <w:r w:rsidRPr="00783DBD">
        <w:rPr>
          <w:rFonts w:asciiTheme="minorHAnsi" w:hAnsiTheme="minorHAnsi" w:cs="Arial"/>
          <w:sz w:val="22"/>
          <w:szCs w:val="22"/>
        </w:rPr>
        <w:t xml:space="preserve"> </w:t>
      </w:r>
      <w:r w:rsidRPr="0002368D">
        <w:rPr>
          <w:rStyle w:val="Strong"/>
          <w:rFonts w:asciiTheme="minorHAnsi" w:hAnsiTheme="minorHAnsi" w:cs="Arial"/>
          <w:b w:val="0"/>
          <w:color w:val="000000"/>
          <w:sz w:val="22"/>
          <w:szCs w:val="22"/>
        </w:rPr>
        <w:t>Steering Team Conference Call</w:t>
      </w:r>
      <w:r w:rsidR="0002368D">
        <w:rPr>
          <w:rStyle w:val="Strong"/>
          <w:rFonts w:asciiTheme="minorHAnsi" w:hAnsiTheme="minorHAnsi" w:cs="Arial"/>
          <w:b w:val="0"/>
          <w:color w:val="000000"/>
          <w:sz w:val="22"/>
          <w:szCs w:val="22"/>
        </w:rPr>
        <w:t xml:space="preserve"> Notes</w:t>
      </w:r>
    </w:p>
    <w:p w14:paraId="6638200E" w14:textId="77777777" w:rsidR="00D322B5" w:rsidRDefault="00D322B5" w:rsidP="000061D0">
      <w:pPr>
        <w:spacing w:before="120" w:after="240"/>
        <w:rPr>
          <w:rFonts w:asciiTheme="minorHAnsi" w:hAnsiTheme="minorHAnsi" w:cs="Arial"/>
          <w:sz w:val="22"/>
          <w:szCs w:val="22"/>
        </w:rPr>
      </w:pPr>
      <w:r>
        <w:rPr>
          <w:rFonts w:asciiTheme="minorHAnsi" w:hAnsiTheme="minorHAnsi" w:cs="Arial"/>
          <w:b/>
          <w:sz w:val="22"/>
          <w:szCs w:val="22"/>
        </w:rPr>
        <w:t xml:space="preserve">Invited </w:t>
      </w:r>
      <w:r w:rsidRPr="00C36789">
        <w:rPr>
          <w:rFonts w:asciiTheme="minorHAnsi" w:hAnsiTheme="minorHAnsi" w:cs="Arial"/>
          <w:b/>
          <w:sz w:val="22"/>
          <w:szCs w:val="22"/>
        </w:rPr>
        <w:t>Participants:</w:t>
      </w:r>
      <w:r w:rsidRPr="00C36789">
        <w:rPr>
          <w:rFonts w:asciiTheme="minorHAnsi" w:hAnsiTheme="minorHAnsi" w:cs="Arial"/>
          <w:sz w:val="22"/>
          <w:szCs w:val="22"/>
        </w:rPr>
        <w:t xml:space="preserve"> </w:t>
      </w:r>
      <w:r w:rsidR="00A62ECB">
        <w:rPr>
          <w:rFonts w:asciiTheme="minorHAnsi" w:hAnsiTheme="minorHAnsi" w:cs="Arial"/>
          <w:color w:val="000000"/>
          <w:sz w:val="22"/>
          <w:szCs w:val="22"/>
        </w:rPr>
        <w:t>Liz Berger (vice Chris Carlson)</w:t>
      </w:r>
      <w:r w:rsidR="0089487E" w:rsidRPr="00983465">
        <w:rPr>
          <w:rFonts w:asciiTheme="minorHAnsi" w:hAnsiTheme="minorHAnsi" w:cs="Arial"/>
          <w:color w:val="000000"/>
          <w:sz w:val="22"/>
          <w:szCs w:val="22"/>
        </w:rPr>
        <w:t>, Tony Erba,</w:t>
      </w:r>
      <w:r w:rsidR="0089487E" w:rsidRPr="00542436">
        <w:rPr>
          <w:rFonts w:asciiTheme="minorHAnsi" w:hAnsiTheme="minorHAnsi" w:cs="Arial"/>
          <w:sz w:val="22"/>
          <w:szCs w:val="22"/>
        </w:rPr>
        <w:t xml:space="preserve"> </w:t>
      </w:r>
      <w:r w:rsidR="0089487E" w:rsidRPr="00983465">
        <w:rPr>
          <w:rFonts w:asciiTheme="minorHAnsi" w:hAnsiTheme="minorHAnsi" w:cs="Arial"/>
          <w:color w:val="000000"/>
          <w:sz w:val="22"/>
          <w:szCs w:val="22"/>
        </w:rPr>
        <w:t xml:space="preserve">Joe Gurrieri, </w:t>
      </w:r>
      <w:r w:rsidR="000061D0">
        <w:rPr>
          <w:rFonts w:asciiTheme="minorHAnsi" w:hAnsiTheme="minorHAnsi" w:cs="Arial"/>
          <w:sz w:val="22"/>
          <w:szCs w:val="22"/>
        </w:rPr>
        <w:t xml:space="preserve">Dave Levinson, </w:t>
      </w:r>
      <w:r w:rsidR="0089487E">
        <w:rPr>
          <w:rFonts w:asciiTheme="minorHAnsi" w:hAnsiTheme="minorHAnsi" w:cs="Arial"/>
          <w:sz w:val="22"/>
          <w:szCs w:val="22"/>
        </w:rPr>
        <w:t>Chris Savage</w:t>
      </w:r>
      <w:r w:rsidR="0089487E" w:rsidRPr="00983465">
        <w:rPr>
          <w:rFonts w:asciiTheme="minorHAnsi" w:hAnsiTheme="minorHAnsi" w:cs="Arial"/>
          <w:sz w:val="22"/>
          <w:szCs w:val="22"/>
        </w:rPr>
        <w:t>,</w:t>
      </w:r>
      <w:r w:rsidR="0089487E" w:rsidRPr="00542436">
        <w:rPr>
          <w:rFonts w:asciiTheme="minorHAnsi" w:hAnsiTheme="minorHAnsi" w:cs="Arial"/>
          <w:color w:val="000000"/>
          <w:sz w:val="22"/>
          <w:szCs w:val="22"/>
        </w:rPr>
        <w:t xml:space="preserve"> </w:t>
      </w:r>
      <w:r w:rsidR="0089487E" w:rsidRPr="00983465">
        <w:rPr>
          <w:rFonts w:asciiTheme="minorHAnsi" w:hAnsiTheme="minorHAnsi" w:cs="Arial"/>
          <w:sz w:val="22"/>
          <w:szCs w:val="22"/>
        </w:rPr>
        <w:t>Linda Spencer</w:t>
      </w:r>
      <w:r w:rsidR="0089487E" w:rsidRPr="00983465">
        <w:rPr>
          <w:rFonts w:asciiTheme="minorHAnsi" w:hAnsiTheme="minorHAnsi" w:cs="Arial"/>
          <w:color w:val="000000"/>
          <w:sz w:val="22"/>
          <w:szCs w:val="22"/>
        </w:rPr>
        <w:t>,</w:t>
      </w:r>
      <w:r w:rsidR="0089487E">
        <w:rPr>
          <w:rFonts w:asciiTheme="minorHAnsi" w:hAnsiTheme="minorHAnsi" w:cs="Arial"/>
          <w:sz w:val="22"/>
          <w:szCs w:val="22"/>
        </w:rPr>
        <w:t xml:space="preserve"> </w:t>
      </w:r>
      <w:r w:rsidR="00255EE0">
        <w:rPr>
          <w:rFonts w:asciiTheme="minorHAnsi" w:hAnsiTheme="minorHAnsi" w:cs="Arial"/>
          <w:color w:val="000000"/>
          <w:sz w:val="22"/>
          <w:szCs w:val="22"/>
        </w:rPr>
        <w:t xml:space="preserve">Pete Kilbourne (METI), </w:t>
      </w:r>
      <w:r>
        <w:rPr>
          <w:rFonts w:asciiTheme="minorHAnsi" w:hAnsiTheme="minorHAnsi" w:cs="Arial"/>
          <w:color w:val="000000"/>
          <w:sz w:val="22"/>
          <w:szCs w:val="22"/>
        </w:rPr>
        <w:t>and</w:t>
      </w:r>
      <w:r w:rsidRPr="00B1006C">
        <w:rPr>
          <w:rFonts w:asciiTheme="minorHAnsi" w:hAnsiTheme="minorHAnsi" w:cs="Arial"/>
          <w:sz w:val="22"/>
          <w:szCs w:val="22"/>
        </w:rPr>
        <w:t xml:space="preserve"> </w:t>
      </w:r>
      <w:r w:rsidRPr="00FC7C1E">
        <w:rPr>
          <w:rFonts w:asciiTheme="minorHAnsi" w:hAnsiTheme="minorHAnsi" w:cs="Arial"/>
          <w:sz w:val="22"/>
          <w:szCs w:val="22"/>
        </w:rPr>
        <w:t>Steve Solem</w:t>
      </w:r>
      <w:r w:rsidR="00A51270">
        <w:rPr>
          <w:rFonts w:asciiTheme="minorHAnsi" w:hAnsiTheme="minorHAnsi" w:cs="Arial"/>
          <w:sz w:val="22"/>
          <w:szCs w:val="22"/>
        </w:rPr>
        <w:t xml:space="preserve"> (METI)</w:t>
      </w:r>
    </w:p>
    <w:p w14:paraId="1232B013" w14:textId="77777777" w:rsidR="00783DBD" w:rsidRDefault="00783DBD" w:rsidP="000061D0">
      <w:pPr>
        <w:spacing w:before="120" w:after="240"/>
        <w:rPr>
          <w:rFonts w:asciiTheme="minorHAnsi" w:hAnsiTheme="minorHAnsi" w:cs="Arial"/>
          <w:color w:val="000000"/>
          <w:sz w:val="22"/>
          <w:szCs w:val="22"/>
        </w:rPr>
      </w:pPr>
      <w:r w:rsidRPr="00783DBD">
        <w:rPr>
          <w:rFonts w:asciiTheme="minorHAnsi" w:hAnsiTheme="minorHAnsi" w:cs="Arial"/>
          <w:b/>
          <w:sz w:val="22"/>
          <w:szCs w:val="22"/>
        </w:rPr>
        <w:t>Unable to Participate:</w:t>
      </w:r>
      <w:r>
        <w:rPr>
          <w:rFonts w:asciiTheme="minorHAnsi" w:hAnsiTheme="minorHAnsi" w:cs="Arial"/>
          <w:sz w:val="22"/>
          <w:szCs w:val="22"/>
        </w:rPr>
        <w:t xml:space="preserve"> </w:t>
      </w:r>
      <w:r w:rsidRPr="00983465">
        <w:rPr>
          <w:rFonts w:asciiTheme="minorHAnsi" w:hAnsiTheme="minorHAnsi" w:cs="Arial"/>
          <w:color w:val="000000"/>
          <w:sz w:val="22"/>
          <w:szCs w:val="22"/>
        </w:rPr>
        <w:t>John Allen,</w:t>
      </w:r>
      <w:r w:rsidRPr="00542436">
        <w:rPr>
          <w:rFonts w:asciiTheme="minorHAnsi" w:hAnsiTheme="minorHAnsi" w:cs="Arial"/>
          <w:sz w:val="22"/>
          <w:szCs w:val="22"/>
        </w:rPr>
        <w:t xml:space="preserve"> </w:t>
      </w:r>
      <w:r w:rsidRPr="00983465">
        <w:rPr>
          <w:rFonts w:asciiTheme="minorHAnsi" w:hAnsiTheme="minorHAnsi" w:cs="Arial"/>
          <w:sz w:val="22"/>
          <w:szCs w:val="22"/>
        </w:rPr>
        <w:t>Leslie Bach,</w:t>
      </w:r>
      <w:r w:rsidRPr="00783DBD">
        <w:rPr>
          <w:rFonts w:asciiTheme="minorHAnsi" w:hAnsiTheme="minorHAnsi" w:cs="Arial"/>
          <w:sz w:val="22"/>
          <w:szCs w:val="22"/>
        </w:rPr>
        <w:t xml:space="preserve"> </w:t>
      </w:r>
      <w:r w:rsidRPr="00983465">
        <w:rPr>
          <w:rFonts w:asciiTheme="minorHAnsi" w:hAnsiTheme="minorHAnsi" w:cs="Arial"/>
          <w:sz w:val="22"/>
          <w:szCs w:val="22"/>
        </w:rPr>
        <w:t>Tony Crump,</w:t>
      </w:r>
      <w:r w:rsidRPr="00783DBD">
        <w:rPr>
          <w:rFonts w:asciiTheme="minorHAnsi" w:hAnsiTheme="minorHAnsi" w:cs="Arial"/>
          <w:sz w:val="22"/>
          <w:szCs w:val="22"/>
        </w:rPr>
        <w:t xml:space="preserve"> </w:t>
      </w:r>
      <w:r>
        <w:rPr>
          <w:rFonts w:asciiTheme="minorHAnsi" w:hAnsiTheme="minorHAnsi" w:cs="Arial"/>
          <w:sz w:val="22"/>
          <w:szCs w:val="22"/>
        </w:rPr>
        <w:t xml:space="preserve">Katherine Smith, and </w:t>
      </w:r>
      <w:r>
        <w:rPr>
          <w:rFonts w:asciiTheme="minorHAnsi" w:hAnsiTheme="minorHAnsi" w:cs="Arial"/>
          <w:color w:val="000000"/>
          <w:sz w:val="22"/>
          <w:szCs w:val="22"/>
        </w:rPr>
        <w:t>Casey Giffen (METI)</w:t>
      </w:r>
    </w:p>
    <w:p w14:paraId="3D998D76" w14:textId="77777777" w:rsidR="00783DBD" w:rsidRPr="00EF26B6" w:rsidRDefault="00783DBD" w:rsidP="00783DBD">
      <w:pPr>
        <w:pBdr>
          <w:top w:val="double" w:sz="4" w:space="1" w:color="auto"/>
          <w:bottom w:val="double" w:sz="4" w:space="1" w:color="auto"/>
        </w:pBdr>
        <w:jc w:val="center"/>
        <w:rPr>
          <w:rStyle w:val="Strong"/>
          <w:rFonts w:asciiTheme="minorHAnsi" w:hAnsiTheme="minorHAnsi" w:cs="Arial"/>
          <w:sz w:val="22"/>
          <w:szCs w:val="22"/>
        </w:rPr>
      </w:pPr>
      <w:r w:rsidRPr="00EF26B6">
        <w:rPr>
          <w:rStyle w:val="Strong"/>
          <w:rFonts w:asciiTheme="minorHAnsi" w:hAnsiTheme="minorHAnsi" w:cs="Arial"/>
          <w:sz w:val="22"/>
          <w:szCs w:val="22"/>
        </w:rPr>
        <w:t>Discussion Topics and Action Items</w:t>
      </w:r>
    </w:p>
    <w:p w14:paraId="46D4C96C" w14:textId="62710C9D" w:rsidR="00783DBD" w:rsidRPr="00783DBD" w:rsidRDefault="00783DBD" w:rsidP="00783DBD">
      <w:pPr>
        <w:spacing w:before="200" w:after="200"/>
        <w:jc w:val="center"/>
        <w:rPr>
          <w:rFonts w:asciiTheme="minorHAnsi" w:hAnsiTheme="minorHAnsi" w:cs="Arial"/>
          <w:b/>
          <w:sz w:val="22"/>
          <w:szCs w:val="22"/>
        </w:rPr>
      </w:pPr>
      <w:r w:rsidRPr="00783DBD">
        <w:rPr>
          <w:rFonts w:asciiTheme="minorHAnsi" w:hAnsiTheme="minorHAnsi" w:cs="Arial"/>
          <w:b/>
          <w:sz w:val="22"/>
          <w:szCs w:val="22"/>
          <w:highlight w:val="yellow"/>
        </w:rPr>
        <w:t>Ne</w:t>
      </w:r>
      <w:r w:rsidR="00246272">
        <w:rPr>
          <w:rFonts w:asciiTheme="minorHAnsi" w:hAnsiTheme="minorHAnsi" w:cs="Arial"/>
          <w:b/>
          <w:sz w:val="22"/>
          <w:szCs w:val="22"/>
          <w:highlight w:val="yellow"/>
        </w:rPr>
        <w:t>xt Steering Team Call – April 16</w:t>
      </w:r>
      <w:r w:rsidRPr="00783DBD">
        <w:rPr>
          <w:rFonts w:asciiTheme="minorHAnsi" w:hAnsiTheme="minorHAnsi" w:cs="Arial"/>
          <w:b/>
          <w:sz w:val="22"/>
          <w:szCs w:val="22"/>
          <w:highlight w:val="yellow"/>
        </w:rPr>
        <w:t>, 2014 @ 3:00 ET/1:00 MT</w:t>
      </w:r>
      <w:r w:rsidR="00246272">
        <w:rPr>
          <w:rFonts w:asciiTheme="minorHAnsi" w:hAnsiTheme="minorHAnsi" w:cs="Arial"/>
          <w:b/>
          <w:sz w:val="22"/>
          <w:szCs w:val="22"/>
        </w:rPr>
        <w:t xml:space="preserve"> (NEW DATE)</w:t>
      </w:r>
    </w:p>
    <w:p w14:paraId="6C40211A" w14:textId="77777777" w:rsidR="00783DBD" w:rsidRPr="00EF26B6" w:rsidRDefault="00783DBD" w:rsidP="00461F4D">
      <w:pPr>
        <w:pStyle w:val="Heading1"/>
        <w:numPr>
          <w:ilvl w:val="0"/>
          <w:numId w:val="34"/>
        </w:numPr>
        <w:rPr>
          <w:rStyle w:val="Strong"/>
          <w:b/>
          <w:bCs w:val="0"/>
          <w:color w:val="auto"/>
        </w:rPr>
      </w:pPr>
      <w:r w:rsidRPr="00EF26B6">
        <w:rPr>
          <w:rStyle w:val="Strong"/>
          <w:b/>
          <w:bCs w:val="0"/>
          <w:color w:val="auto"/>
        </w:rPr>
        <w:t>Project Overview</w:t>
      </w:r>
      <w:r w:rsidRPr="00EF26B6">
        <w:t xml:space="preserve"> Project Schedule</w:t>
      </w:r>
    </w:p>
    <w:p w14:paraId="7342DFB9" w14:textId="77777777" w:rsidR="00783DBD" w:rsidRPr="00EF26B6" w:rsidRDefault="00783DBD" w:rsidP="00783DBD">
      <w:pPr>
        <w:pStyle w:val="ListParagraph"/>
        <w:spacing w:after="200"/>
        <w:ind w:left="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Steve Solem discussed key tasks coming up in the project schedule (1</w:t>
      </w:r>
      <w:r>
        <w:rPr>
          <w:rStyle w:val="Strong"/>
          <w:rFonts w:asciiTheme="minorHAnsi" w:hAnsiTheme="minorHAnsi" w:cs="Arial"/>
          <w:b w:val="0"/>
          <w:sz w:val="22"/>
          <w:szCs w:val="22"/>
        </w:rPr>
        <w:t>2</w:t>
      </w:r>
      <w:r w:rsidRPr="00EF26B6">
        <w:rPr>
          <w:rStyle w:val="Strong"/>
          <w:rFonts w:asciiTheme="minorHAnsi" w:hAnsiTheme="minorHAnsi" w:cs="Arial"/>
          <w:b w:val="0"/>
          <w:sz w:val="22"/>
          <w:szCs w:val="22"/>
        </w:rPr>
        <w:t>/</w:t>
      </w:r>
      <w:r>
        <w:rPr>
          <w:rStyle w:val="Strong"/>
          <w:rFonts w:asciiTheme="minorHAnsi" w:hAnsiTheme="minorHAnsi" w:cs="Arial"/>
          <w:b w:val="0"/>
          <w:sz w:val="22"/>
          <w:szCs w:val="22"/>
        </w:rPr>
        <w:t>27</w:t>
      </w:r>
      <w:r w:rsidRPr="00EF26B6">
        <w:rPr>
          <w:rStyle w:val="Strong"/>
          <w:rFonts w:asciiTheme="minorHAnsi" w:hAnsiTheme="minorHAnsi" w:cs="Arial"/>
          <w:b w:val="0"/>
          <w:sz w:val="22"/>
          <w:szCs w:val="22"/>
        </w:rPr>
        <w:t>/13) and their status:</w:t>
      </w:r>
    </w:p>
    <w:p w14:paraId="678DB105" w14:textId="77777777" w:rsidR="00783DBD" w:rsidRPr="00EF26B6" w:rsidRDefault="00783DBD" w:rsidP="00783DBD">
      <w:pPr>
        <w:pStyle w:val="ListParagraph"/>
        <w:numPr>
          <w:ilvl w:val="0"/>
          <w:numId w:val="32"/>
        </w:numPr>
        <w:spacing w:after="20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 xml:space="preserve">The Internal FS Review (Task 4.60) and Partner/Affiliate Review (Task 4.70) </w:t>
      </w:r>
      <w:r w:rsidR="00870121">
        <w:rPr>
          <w:rStyle w:val="Strong"/>
          <w:rFonts w:asciiTheme="minorHAnsi" w:hAnsiTheme="minorHAnsi" w:cs="Arial"/>
          <w:b w:val="0"/>
          <w:sz w:val="22"/>
          <w:szCs w:val="22"/>
        </w:rPr>
        <w:t xml:space="preserve">of the draft Inventory, Monitoring, and Assessment (IM&amp;A) Technical Guide </w:t>
      </w:r>
      <w:r w:rsidRPr="00EF26B6">
        <w:rPr>
          <w:rStyle w:val="Strong"/>
          <w:rFonts w:asciiTheme="minorHAnsi" w:hAnsiTheme="minorHAnsi" w:cs="Arial"/>
          <w:b w:val="0"/>
          <w:sz w:val="22"/>
          <w:szCs w:val="22"/>
        </w:rPr>
        <w:t>beg</w:t>
      </w:r>
      <w:r>
        <w:rPr>
          <w:rStyle w:val="Strong"/>
          <w:rFonts w:asciiTheme="minorHAnsi" w:hAnsiTheme="minorHAnsi" w:cs="Arial"/>
          <w:b w:val="0"/>
          <w:sz w:val="22"/>
          <w:szCs w:val="22"/>
        </w:rPr>
        <w:t>a</w:t>
      </w:r>
      <w:r w:rsidRPr="00EF26B6">
        <w:rPr>
          <w:rStyle w:val="Strong"/>
          <w:rFonts w:asciiTheme="minorHAnsi" w:hAnsiTheme="minorHAnsi" w:cs="Arial"/>
          <w:b w:val="0"/>
          <w:sz w:val="22"/>
          <w:szCs w:val="22"/>
        </w:rPr>
        <w:t xml:space="preserve">n on January </w:t>
      </w:r>
      <w:r>
        <w:rPr>
          <w:rStyle w:val="Strong"/>
          <w:rFonts w:asciiTheme="minorHAnsi" w:hAnsiTheme="minorHAnsi" w:cs="Arial"/>
          <w:b w:val="0"/>
          <w:sz w:val="22"/>
          <w:szCs w:val="22"/>
        </w:rPr>
        <w:t>7</w:t>
      </w:r>
      <w:r w:rsidRPr="00EF26B6">
        <w:rPr>
          <w:rStyle w:val="Strong"/>
          <w:rFonts w:asciiTheme="minorHAnsi" w:hAnsiTheme="minorHAnsi" w:cs="Arial"/>
          <w:b w:val="0"/>
          <w:sz w:val="22"/>
          <w:szCs w:val="22"/>
        </w:rPr>
        <w:t xml:space="preserve">, 2014 and </w:t>
      </w:r>
      <w:r w:rsidR="00870121">
        <w:rPr>
          <w:rStyle w:val="Strong"/>
          <w:rFonts w:asciiTheme="minorHAnsi" w:hAnsiTheme="minorHAnsi" w:cs="Arial"/>
          <w:b w:val="0"/>
          <w:sz w:val="22"/>
          <w:szCs w:val="22"/>
        </w:rPr>
        <w:t xml:space="preserve">will </w:t>
      </w:r>
      <w:r w:rsidRPr="00EF26B6">
        <w:rPr>
          <w:rStyle w:val="Strong"/>
          <w:rFonts w:asciiTheme="minorHAnsi" w:hAnsiTheme="minorHAnsi" w:cs="Arial"/>
          <w:b w:val="0"/>
          <w:sz w:val="22"/>
          <w:szCs w:val="22"/>
        </w:rPr>
        <w:t xml:space="preserve">conclude on </w:t>
      </w:r>
      <w:r w:rsidRPr="00D738E6">
        <w:rPr>
          <w:rStyle w:val="Strong"/>
          <w:rFonts w:asciiTheme="minorHAnsi" w:hAnsiTheme="minorHAnsi" w:cs="Arial"/>
          <w:b w:val="0"/>
          <w:sz w:val="22"/>
          <w:szCs w:val="22"/>
        </w:rPr>
        <w:t xml:space="preserve">March </w:t>
      </w:r>
      <w:r>
        <w:rPr>
          <w:rStyle w:val="Strong"/>
          <w:rFonts w:asciiTheme="minorHAnsi" w:hAnsiTheme="minorHAnsi" w:cs="Arial"/>
          <w:b w:val="0"/>
          <w:sz w:val="22"/>
          <w:szCs w:val="22"/>
        </w:rPr>
        <w:t>21</w:t>
      </w:r>
      <w:r w:rsidRPr="00D738E6">
        <w:rPr>
          <w:rStyle w:val="Strong"/>
          <w:rFonts w:asciiTheme="minorHAnsi" w:hAnsiTheme="minorHAnsi" w:cs="Arial"/>
          <w:b w:val="0"/>
          <w:sz w:val="22"/>
          <w:szCs w:val="22"/>
        </w:rPr>
        <w:t>, 2014.</w:t>
      </w:r>
      <w:r>
        <w:rPr>
          <w:rStyle w:val="Strong"/>
          <w:rFonts w:asciiTheme="minorHAnsi" w:hAnsiTheme="minorHAnsi" w:cs="Arial"/>
          <w:b w:val="0"/>
          <w:sz w:val="22"/>
          <w:szCs w:val="22"/>
        </w:rPr>
        <w:t xml:space="preserve"> This allows </w:t>
      </w:r>
      <w:r w:rsidR="00870121">
        <w:rPr>
          <w:rStyle w:val="Strong"/>
          <w:rFonts w:asciiTheme="minorHAnsi" w:hAnsiTheme="minorHAnsi" w:cs="Arial"/>
          <w:b w:val="0"/>
          <w:sz w:val="22"/>
          <w:szCs w:val="22"/>
        </w:rPr>
        <w:t xml:space="preserve">over </w:t>
      </w:r>
      <w:r>
        <w:rPr>
          <w:rStyle w:val="Strong"/>
          <w:rFonts w:asciiTheme="minorHAnsi" w:hAnsiTheme="minorHAnsi" w:cs="Arial"/>
          <w:b w:val="0"/>
          <w:sz w:val="22"/>
          <w:szCs w:val="22"/>
        </w:rPr>
        <w:t>two full months for review and comment on the draft</w:t>
      </w:r>
      <w:r w:rsidR="00870121">
        <w:rPr>
          <w:rStyle w:val="Strong"/>
          <w:rFonts w:asciiTheme="minorHAnsi" w:hAnsiTheme="minorHAnsi" w:cs="Arial"/>
          <w:b w:val="0"/>
          <w:sz w:val="22"/>
          <w:szCs w:val="22"/>
        </w:rPr>
        <w:t>, which currently exceeds 400 total pages</w:t>
      </w:r>
      <w:r>
        <w:rPr>
          <w:rStyle w:val="Strong"/>
          <w:rFonts w:asciiTheme="minorHAnsi" w:hAnsiTheme="minorHAnsi" w:cs="Arial"/>
          <w:b w:val="0"/>
          <w:sz w:val="22"/>
          <w:szCs w:val="22"/>
        </w:rPr>
        <w:t>.</w:t>
      </w:r>
    </w:p>
    <w:p w14:paraId="41CCED8D" w14:textId="77777777" w:rsidR="00783DBD" w:rsidRDefault="00783DBD" w:rsidP="00783DBD">
      <w:pPr>
        <w:pStyle w:val="ListParagraph"/>
        <w:numPr>
          <w:ilvl w:val="0"/>
          <w:numId w:val="32"/>
        </w:numPr>
        <w:spacing w:after="200"/>
        <w:contextualSpacing w:val="0"/>
        <w:rPr>
          <w:rStyle w:val="Strong"/>
          <w:rFonts w:asciiTheme="minorHAnsi" w:hAnsiTheme="minorHAnsi" w:cs="Arial"/>
          <w:b w:val="0"/>
          <w:sz w:val="22"/>
          <w:szCs w:val="22"/>
        </w:rPr>
      </w:pPr>
      <w:r>
        <w:rPr>
          <w:rStyle w:val="Strong"/>
          <w:rFonts w:asciiTheme="minorHAnsi" w:hAnsiTheme="minorHAnsi" w:cs="Arial"/>
          <w:b w:val="0"/>
          <w:sz w:val="22"/>
          <w:szCs w:val="22"/>
        </w:rPr>
        <w:t xml:space="preserve">Task </w:t>
      </w:r>
      <w:r w:rsidRPr="00304BD4">
        <w:rPr>
          <w:rStyle w:val="Strong"/>
          <w:rFonts w:asciiTheme="minorHAnsi" w:hAnsiTheme="minorHAnsi" w:cs="Arial"/>
          <w:b w:val="0"/>
          <w:sz w:val="22"/>
          <w:szCs w:val="22"/>
        </w:rPr>
        <w:t xml:space="preserve">4.80 </w:t>
      </w:r>
      <w:r>
        <w:rPr>
          <w:rStyle w:val="Strong"/>
          <w:rFonts w:asciiTheme="minorHAnsi" w:hAnsiTheme="minorHAnsi" w:cs="Arial"/>
          <w:b w:val="0"/>
          <w:sz w:val="22"/>
          <w:szCs w:val="22"/>
        </w:rPr>
        <w:t xml:space="preserve">Review Comments/Reconciliation is the next major </w:t>
      </w:r>
      <w:r w:rsidR="00870121">
        <w:rPr>
          <w:rStyle w:val="Strong"/>
          <w:rFonts w:asciiTheme="minorHAnsi" w:hAnsiTheme="minorHAnsi" w:cs="Arial"/>
          <w:b w:val="0"/>
          <w:sz w:val="22"/>
          <w:szCs w:val="22"/>
        </w:rPr>
        <w:t xml:space="preserve">IM&amp;A </w:t>
      </w:r>
      <w:r>
        <w:rPr>
          <w:rStyle w:val="Strong"/>
          <w:rFonts w:asciiTheme="minorHAnsi" w:hAnsiTheme="minorHAnsi" w:cs="Arial"/>
          <w:b w:val="0"/>
          <w:sz w:val="22"/>
          <w:szCs w:val="22"/>
        </w:rPr>
        <w:t>Technical Guide task, which begins at the end of March 2014</w:t>
      </w:r>
      <w:r w:rsidR="00870121">
        <w:rPr>
          <w:rStyle w:val="Strong"/>
          <w:rFonts w:asciiTheme="minorHAnsi" w:hAnsiTheme="minorHAnsi" w:cs="Arial"/>
          <w:b w:val="0"/>
          <w:sz w:val="22"/>
          <w:szCs w:val="22"/>
        </w:rPr>
        <w:t xml:space="preserve"> and will lead to publication of the Technical Guide in early FY15</w:t>
      </w:r>
      <w:r>
        <w:rPr>
          <w:rStyle w:val="Strong"/>
          <w:rFonts w:asciiTheme="minorHAnsi" w:hAnsiTheme="minorHAnsi" w:cs="Arial"/>
          <w:b w:val="0"/>
          <w:sz w:val="22"/>
          <w:szCs w:val="22"/>
        </w:rPr>
        <w:t>.</w:t>
      </w:r>
    </w:p>
    <w:p w14:paraId="6DC200CD" w14:textId="77777777" w:rsidR="00783DBD" w:rsidRPr="00EF26B6" w:rsidRDefault="00783DBD" w:rsidP="00783DBD">
      <w:pPr>
        <w:pStyle w:val="ListParagraph"/>
        <w:numPr>
          <w:ilvl w:val="0"/>
          <w:numId w:val="32"/>
        </w:numPr>
        <w:spacing w:after="200"/>
        <w:contextualSpacing w:val="0"/>
        <w:rPr>
          <w:rStyle w:val="Strong"/>
          <w:rFonts w:asciiTheme="minorHAnsi" w:hAnsiTheme="minorHAnsi" w:cs="Arial"/>
          <w:b w:val="0"/>
          <w:sz w:val="22"/>
          <w:szCs w:val="22"/>
        </w:rPr>
      </w:pPr>
      <w:r>
        <w:rPr>
          <w:rStyle w:val="Strong"/>
          <w:rFonts w:asciiTheme="minorHAnsi" w:hAnsiTheme="minorHAnsi" w:cs="Arial"/>
          <w:b w:val="0"/>
          <w:sz w:val="22"/>
          <w:szCs w:val="22"/>
        </w:rPr>
        <w:t xml:space="preserve">Preliminary work to define the scope of the </w:t>
      </w:r>
      <w:r w:rsidRPr="00304BD4">
        <w:rPr>
          <w:rStyle w:val="Strong"/>
          <w:rFonts w:asciiTheme="minorHAnsi" w:hAnsiTheme="minorHAnsi" w:cs="Arial"/>
          <w:b w:val="0"/>
          <w:sz w:val="22"/>
          <w:szCs w:val="22"/>
        </w:rPr>
        <w:t>Revision of Managing GW Resources Technical Guide (FS-881)</w:t>
      </w:r>
      <w:r>
        <w:rPr>
          <w:rStyle w:val="Strong"/>
          <w:rFonts w:asciiTheme="minorHAnsi" w:hAnsiTheme="minorHAnsi" w:cs="Arial"/>
          <w:b w:val="0"/>
          <w:sz w:val="22"/>
          <w:szCs w:val="22"/>
        </w:rPr>
        <w:t xml:space="preserve"> is ongoing.</w:t>
      </w:r>
    </w:p>
    <w:p w14:paraId="46A5BCB9" w14:textId="77777777" w:rsidR="00783DBD" w:rsidRPr="00692967" w:rsidRDefault="00783DBD" w:rsidP="00783DBD">
      <w:pPr>
        <w:pStyle w:val="ListParagraph"/>
        <w:numPr>
          <w:ilvl w:val="0"/>
          <w:numId w:val="34"/>
        </w:numPr>
        <w:shd w:val="clear" w:color="auto" w:fill="C6D9F1" w:themeFill="text2" w:themeFillTint="33"/>
        <w:spacing w:before="200" w:after="200"/>
        <w:outlineLvl w:val="0"/>
        <w:rPr>
          <w:rFonts w:asciiTheme="minorHAnsi" w:hAnsiTheme="minorHAnsi" w:cs="Arial"/>
          <w:b/>
          <w:sz w:val="22"/>
          <w:szCs w:val="22"/>
        </w:rPr>
      </w:pPr>
      <w:r w:rsidRPr="00692967">
        <w:rPr>
          <w:rFonts w:asciiTheme="minorHAnsi" w:hAnsiTheme="minorHAnsi" w:cs="Arial"/>
          <w:b/>
          <w:sz w:val="22"/>
          <w:szCs w:val="22"/>
        </w:rPr>
        <w:t>Internal FS and Partner/Affiliate Review Process</w:t>
      </w:r>
    </w:p>
    <w:p w14:paraId="5F45CF9C" w14:textId="77777777" w:rsidR="00783DBD" w:rsidRDefault="00870121" w:rsidP="00783DBD">
      <w:pPr>
        <w:spacing w:after="200"/>
        <w:rPr>
          <w:rFonts w:asciiTheme="minorHAnsi" w:hAnsiTheme="minorHAnsi" w:cstheme="minorHAnsi"/>
          <w:bCs/>
          <w:sz w:val="22"/>
          <w:szCs w:val="22"/>
        </w:rPr>
      </w:pPr>
      <w:r>
        <w:rPr>
          <w:rFonts w:asciiTheme="minorHAnsi" w:hAnsiTheme="minorHAnsi" w:cstheme="minorHAnsi"/>
          <w:bCs/>
          <w:sz w:val="22"/>
          <w:szCs w:val="22"/>
        </w:rPr>
        <w:t>Joe Gurrieri</w:t>
      </w:r>
      <w:r w:rsidR="00783DBD" w:rsidRPr="00EF26B6">
        <w:rPr>
          <w:rFonts w:asciiTheme="minorHAnsi" w:hAnsiTheme="minorHAnsi" w:cstheme="minorHAnsi"/>
          <w:bCs/>
          <w:sz w:val="22"/>
          <w:szCs w:val="22"/>
        </w:rPr>
        <w:t xml:space="preserve"> reviewed the Internal FS and Partner/Affiliate Review Process</w:t>
      </w:r>
      <w:r w:rsidR="00783DBD">
        <w:rPr>
          <w:rFonts w:asciiTheme="minorHAnsi" w:hAnsiTheme="minorHAnsi" w:cstheme="minorHAnsi"/>
          <w:bCs/>
          <w:sz w:val="22"/>
          <w:szCs w:val="22"/>
        </w:rPr>
        <w:t>. The</w:t>
      </w:r>
      <w:r w:rsidR="00783DBD" w:rsidRPr="00EF26B6">
        <w:rPr>
          <w:rFonts w:asciiTheme="minorHAnsi" w:hAnsiTheme="minorHAnsi" w:cstheme="minorHAnsi"/>
          <w:bCs/>
          <w:sz w:val="22"/>
          <w:szCs w:val="22"/>
        </w:rPr>
        <w:t xml:space="preserve"> </w:t>
      </w:r>
      <w:r w:rsidR="00783DBD">
        <w:rPr>
          <w:rFonts w:asciiTheme="minorHAnsi" w:hAnsiTheme="minorHAnsi" w:cstheme="minorHAnsi"/>
          <w:bCs/>
          <w:sz w:val="22"/>
          <w:szCs w:val="22"/>
        </w:rPr>
        <w:t xml:space="preserve">January 7, 2014, </w:t>
      </w:r>
      <w:r w:rsidR="00783DBD" w:rsidRPr="00EF26B6">
        <w:rPr>
          <w:rFonts w:asciiTheme="minorHAnsi" w:hAnsiTheme="minorHAnsi" w:cstheme="minorHAnsi"/>
          <w:bCs/>
          <w:sz w:val="22"/>
          <w:szCs w:val="22"/>
        </w:rPr>
        <w:t>letter from the NFS Deputy Chief formally announce</w:t>
      </w:r>
      <w:r w:rsidR="00783DBD">
        <w:rPr>
          <w:rFonts w:asciiTheme="minorHAnsi" w:hAnsiTheme="minorHAnsi" w:cstheme="minorHAnsi"/>
          <w:bCs/>
          <w:sz w:val="22"/>
          <w:szCs w:val="22"/>
        </w:rPr>
        <w:t>d</w:t>
      </w:r>
      <w:r w:rsidR="00783DBD" w:rsidRPr="00EF26B6">
        <w:rPr>
          <w:rFonts w:asciiTheme="minorHAnsi" w:hAnsiTheme="minorHAnsi" w:cstheme="minorHAnsi"/>
          <w:bCs/>
          <w:sz w:val="22"/>
          <w:szCs w:val="22"/>
        </w:rPr>
        <w:t xml:space="preserve"> and kick</w:t>
      </w:r>
      <w:r w:rsidR="00783DBD">
        <w:rPr>
          <w:rFonts w:asciiTheme="minorHAnsi" w:hAnsiTheme="minorHAnsi" w:cstheme="minorHAnsi"/>
          <w:bCs/>
          <w:sz w:val="22"/>
          <w:szCs w:val="22"/>
        </w:rPr>
        <w:t>ed</w:t>
      </w:r>
      <w:r w:rsidR="00783DBD" w:rsidRPr="00EF26B6">
        <w:rPr>
          <w:rFonts w:asciiTheme="minorHAnsi" w:hAnsiTheme="minorHAnsi" w:cstheme="minorHAnsi"/>
          <w:bCs/>
          <w:sz w:val="22"/>
          <w:szCs w:val="22"/>
        </w:rPr>
        <w:t xml:space="preserve"> off the review of the </w:t>
      </w:r>
      <w:r w:rsidR="00783DBD">
        <w:rPr>
          <w:rFonts w:asciiTheme="minorHAnsi" w:hAnsiTheme="minorHAnsi" w:cstheme="minorHAnsi"/>
          <w:bCs/>
          <w:sz w:val="22"/>
          <w:szCs w:val="22"/>
        </w:rPr>
        <w:t xml:space="preserve">draft </w:t>
      </w:r>
      <w:r w:rsidR="00783DBD" w:rsidRPr="00EF26B6">
        <w:rPr>
          <w:rFonts w:asciiTheme="minorHAnsi" w:hAnsiTheme="minorHAnsi" w:cstheme="minorHAnsi"/>
          <w:bCs/>
          <w:sz w:val="22"/>
          <w:szCs w:val="22"/>
        </w:rPr>
        <w:t>Technical Guide.</w:t>
      </w:r>
      <w:r w:rsidR="00783DBD">
        <w:rPr>
          <w:rFonts w:asciiTheme="minorHAnsi" w:hAnsiTheme="minorHAnsi" w:cstheme="minorHAnsi"/>
          <w:bCs/>
          <w:sz w:val="22"/>
          <w:szCs w:val="22"/>
        </w:rPr>
        <w:t xml:space="preserve">  </w:t>
      </w:r>
    </w:p>
    <w:p w14:paraId="143A7BAD" w14:textId="77777777" w:rsidR="00783DBD" w:rsidRDefault="00783DBD" w:rsidP="00783DBD">
      <w:pPr>
        <w:spacing w:after="200"/>
        <w:rPr>
          <w:rFonts w:asciiTheme="minorHAnsi" w:hAnsiTheme="minorHAnsi" w:cstheme="minorHAnsi"/>
          <w:bCs/>
          <w:sz w:val="22"/>
          <w:szCs w:val="22"/>
          <w:u w:val="single"/>
        </w:rPr>
      </w:pPr>
      <w:r>
        <w:rPr>
          <w:rFonts w:asciiTheme="minorHAnsi" w:hAnsiTheme="minorHAnsi" w:cstheme="minorHAnsi"/>
          <w:bCs/>
          <w:sz w:val="22"/>
          <w:szCs w:val="22"/>
        </w:rPr>
        <w:t>In addition to internal distribution, Joe is extending email invitations to agency partners and others requesting their comment on the dr</w:t>
      </w:r>
      <w:r w:rsidR="00870121">
        <w:rPr>
          <w:rFonts w:asciiTheme="minorHAnsi" w:hAnsiTheme="minorHAnsi" w:cstheme="minorHAnsi"/>
          <w:bCs/>
          <w:sz w:val="22"/>
          <w:szCs w:val="22"/>
        </w:rPr>
        <w:t>aft Technical Guide</w:t>
      </w:r>
      <w:r>
        <w:rPr>
          <w:rFonts w:asciiTheme="minorHAnsi" w:hAnsiTheme="minorHAnsi" w:cstheme="minorHAnsi"/>
          <w:bCs/>
          <w:sz w:val="22"/>
          <w:szCs w:val="22"/>
        </w:rPr>
        <w:t>.</w:t>
      </w:r>
      <w:r w:rsidR="00870121">
        <w:rPr>
          <w:rFonts w:asciiTheme="minorHAnsi" w:hAnsiTheme="minorHAnsi" w:cstheme="minorHAnsi"/>
          <w:bCs/>
          <w:sz w:val="22"/>
          <w:szCs w:val="22"/>
        </w:rPr>
        <w:t xml:space="preserve">  Key individuals in each of the major agencies (EPA, USGS, BLM, NPS)</w:t>
      </w:r>
      <w:r w:rsidR="00870121" w:rsidRPr="00A6237F">
        <w:rPr>
          <w:rFonts w:asciiTheme="minorHAnsi" w:hAnsiTheme="minorHAnsi" w:cstheme="minorHAnsi"/>
          <w:bCs/>
          <w:sz w:val="22"/>
          <w:szCs w:val="22"/>
          <w:u w:val="single"/>
        </w:rPr>
        <w:t xml:space="preserve"> </w:t>
      </w:r>
      <w:r w:rsidR="00870121">
        <w:rPr>
          <w:rFonts w:asciiTheme="minorHAnsi" w:hAnsiTheme="minorHAnsi" w:cstheme="minorHAnsi"/>
          <w:bCs/>
          <w:sz w:val="22"/>
          <w:szCs w:val="22"/>
        </w:rPr>
        <w:t>dealing with groundwater resources have agreed to facilitate review of the IM&amp;A Technical Guide.</w:t>
      </w:r>
    </w:p>
    <w:p w14:paraId="22A753D2" w14:textId="77777777" w:rsidR="00441346" w:rsidRDefault="00441346" w:rsidP="00441346">
      <w:pPr>
        <w:spacing w:after="200"/>
        <w:rPr>
          <w:rFonts w:asciiTheme="minorHAnsi" w:hAnsiTheme="minorHAnsi" w:cstheme="minorHAnsi"/>
          <w:bCs/>
          <w:sz w:val="22"/>
          <w:szCs w:val="22"/>
        </w:rPr>
      </w:pPr>
      <w:r>
        <w:rPr>
          <w:rFonts w:asciiTheme="minorHAnsi" w:hAnsiTheme="minorHAnsi" w:cstheme="minorHAnsi"/>
          <w:bCs/>
          <w:sz w:val="22"/>
          <w:szCs w:val="22"/>
        </w:rPr>
        <w:t>Once concern that was identified during the development of the Deputy Chief’s letter was the possibility of confusion that might arise if the FS groundwater policy was released during the same time as the comment period on the GW IM&amp;A Technical Guide.  As a result, Steering Team members are encouraged to personally contact members of their external networks regarding the review opportunity vs. a general email to those individuals and organizations.</w:t>
      </w:r>
    </w:p>
    <w:p w14:paraId="13A25F46" w14:textId="77777777" w:rsidR="00246272" w:rsidRDefault="00246272">
      <w:pPr>
        <w:rPr>
          <w:rFonts w:asciiTheme="minorHAnsi" w:hAnsiTheme="minorHAnsi" w:cstheme="minorHAnsi"/>
          <w:bCs/>
          <w:sz w:val="22"/>
          <w:szCs w:val="22"/>
          <w:u w:val="single"/>
        </w:rPr>
      </w:pPr>
      <w:r>
        <w:rPr>
          <w:rFonts w:asciiTheme="minorHAnsi" w:hAnsiTheme="minorHAnsi" w:cstheme="minorHAnsi"/>
          <w:bCs/>
          <w:sz w:val="22"/>
          <w:szCs w:val="22"/>
          <w:u w:val="single"/>
        </w:rPr>
        <w:br w:type="page"/>
      </w:r>
    </w:p>
    <w:p w14:paraId="08476D11" w14:textId="25FDC604" w:rsidR="00783DBD" w:rsidRPr="003575CB" w:rsidRDefault="00783DBD" w:rsidP="00783DBD">
      <w:pPr>
        <w:spacing w:after="200"/>
        <w:rPr>
          <w:rFonts w:asciiTheme="minorHAnsi" w:hAnsiTheme="minorHAnsi" w:cstheme="minorHAnsi"/>
          <w:bCs/>
          <w:sz w:val="22"/>
          <w:szCs w:val="22"/>
          <w:u w:val="single"/>
        </w:rPr>
      </w:pPr>
      <w:r w:rsidRPr="003575CB">
        <w:rPr>
          <w:rFonts w:asciiTheme="minorHAnsi" w:hAnsiTheme="minorHAnsi" w:cstheme="minorHAnsi"/>
          <w:bCs/>
          <w:sz w:val="22"/>
          <w:szCs w:val="22"/>
          <w:u w:val="single"/>
        </w:rPr>
        <w:t>Technical Guide Internal/Partner Review Website</w:t>
      </w:r>
    </w:p>
    <w:p w14:paraId="372FED7C" w14:textId="77777777" w:rsidR="00783DBD" w:rsidRDefault="00783DBD" w:rsidP="00783DBD">
      <w:pPr>
        <w:spacing w:after="200"/>
        <w:rPr>
          <w:rFonts w:asciiTheme="minorHAnsi" w:hAnsiTheme="minorHAnsi" w:cstheme="minorHAnsi"/>
          <w:bCs/>
          <w:sz w:val="22"/>
          <w:szCs w:val="22"/>
        </w:rPr>
      </w:pPr>
      <w:r>
        <w:rPr>
          <w:rFonts w:asciiTheme="minorHAnsi" w:hAnsiTheme="minorHAnsi" w:cstheme="minorHAnsi"/>
          <w:bCs/>
          <w:sz w:val="22"/>
          <w:szCs w:val="22"/>
        </w:rPr>
        <w:lastRenderedPageBreak/>
        <w:t xml:space="preserve">The </w:t>
      </w:r>
      <w:r w:rsidRPr="00EF26B6">
        <w:rPr>
          <w:rFonts w:asciiTheme="minorHAnsi" w:hAnsiTheme="minorHAnsi" w:cstheme="minorHAnsi"/>
          <w:bCs/>
          <w:sz w:val="22"/>
          <w:szCs w:val="22"/>
        </w:rPr>
        <w:t xml:space="preserve">external website </w:t>
      </w:r>
      <w:r>
        <w:rPr>
          <w:rFonts w:asciiTheme="minorHAnsi" w:hAnsiTheme="minorHAnsi" w:cstheme="minorHAnsi"/>
          <w:bCs/>
          <w:sz w:val="22"/>
          <w:szCs w:val="22"/>
        </w:rPr>
        <w:t xml:space="preserve">is </w:t>
      </w:r>
      <w:r w:rsidRPr="00EF26B6">
        <w:rPr>
          <w:rFonts w:asciiTheme="minorHAnsi" w:hAnsiTheme="minorHAnsi" w:cstheme="minorHAnsi"/>
          <w:bCs/>
          <w:sz w:val="22"/>
          <w:szCs w:val="22"/>
        </w:rPr>
        <w:t>set up for the Internal</w:t>
      </w:r>
      <w:r>
        <w:rPr>
          <w:rFonts w:asciiTheme="minorHAnsi" w:hAnsiTheme="minorHAnsi" w:cstheme="minorHAnsi"/>
          <w:bCs/>
          <w:sz w:val="22"/>
          <w:szCs w:val="22"/>
        </w:rPr>
        <w:t xml:space="preserve"> FS</w:t>
      </w:r>
      <w:r w:rsidRPr="00EF26B6">
        <w:rPr>
          <w:rFonts w:asciiTheme="minorHAnsi" w:hAnsiTheme="minorHAnsi" w:cstheme="minorHAnsi"/>
          <w:bCs/>
          <w:sz w:val="22"/>
          <w:szCs w:val="22"/>
        </w:rPr>
        <w:t xml:space="preserve">/Partner Review of the </w:t>
      </w:r>
      <w:r>
        <w:rPr>
          <w:rFonts w:asciiTheme="minorHAnsi" w:hAnsiTheme="minorHAnsi" w:cstheme="minorHAnsi"/>
          <w:bCs/>
          <w:sz w:val="22"/>
          <w:szCs w:val="22"/>
        </w:rPr>
        <w:t xml:space="preserve">draft </w:t>
      </w:r>
      <w:r w:rsidRPr="00EF26B6">
        <w:rPr>
          <w:rFonts w:asciiTheme="minorHAnsi" w:hAnsiTheme="minorHAnsi" w:cstheme="minorHAnsi"/>
          <w:bCs/>
          <w:sz w:val="22"/>
          <w:szCs w:val="22"/>
        </w:rPr>
        <w:t>Technical Guide to serve as a common gateway to access project documentation</w:t>
      </w:r>
      <w:r>
        <w:rPr>
          <w:rFonts w:asciiTheme="minorHAnsi" w:hAnsiTheme="minorHAnsi" w:cstheme="minorHAnsi"/>
          <w:bCs/>
          <w:sz w:val="22"/>
          <w:szCs w:val="22"/>
        </w:rPr>
        <w:t xml:space="preserve">, </w:t>
      </w:r>
      <w:r w:rsidRPr="00EF26B6">
        <w:rPr>
          <w:rFonts w:asciiTheme="minorHAnsi" w:hAnsiTheme="minorHAnsi" w:cstheme="minorHAnsi"/>
          <w:bCs/>
          <w:sz w:val="22"/>
          <w:szCs w:val="22"/>
        </w:rPr>
        <w:t>review guidelines</w:t>
      </w:r>
      <w:r>
        <w:rPr>
          <w:rFonts w:asciiTheme="minorHAnsi" w:hAnsiTheme="minorHAnsi" w:cstheme="minorHAnsi"/>
          <w:bCs/>
          <w:sz w:val="22"/>
          <w:szCs w:val="22"/>
        </w:rPr>
        <w:t>,</w:t>
      </w:r>
      <w:r w:rsidRPr="00EF26B6">
        <w:rPr>
          <w:rFonts w:asciiTheme="minorHAnsi" w:hAnsiTheme="minorHAnsi" w:cstheme="minorHAnsi"/>
          <w:bCs/>
          <w:sz w:val="22"/>
          <w:szCs w:val="22"/>
        </w:rPr>
        <w:t xml:space="preserve"> and to provide internal reviewers access to SharePoint sites.  </w:t>
      </w:r>
      <w:r>
        <w:rPr>
          <w:rFonts w:asciiTheme="minorHAnsi" w:hAnsiTheme="minorHAnsi" w:cstheme="minorHAnsi"/>
          <w:bCs/>
          <w:sz w:val="22"/>
          <w:szCs w:val="22"/>
        </w:rPr>
        <w:t>Forest Service reviewers will be directed to a</w:t>
      </w:r>
      <w:r w:rsidRPr="00EF26B6">
        <w:rPr>
          <w:rFonts w:asciiTheme="minorHAnsi" w:hAnsiTheme="minorHAnsi" w:cstheme="minorHAnsi"/>
          <w:bCs/>
          <w:sz w:val="22"/>
          <w:szCs w:val="22"/>
        </w:rPr>
        <w:t xml:space="preserve">n Internal FS SharePoint </w:t>
      </w:r>
      <w:r>
        <w:rPr>
          <w:rFonts w:asciiTheme="minorHAnsi" w:hAnsiTheme="minorHAnsi" w:cstheme="minorHAnsi"/>
          <w:bCs/>
          <w:sz w:val="22"/>
          <w:szCs w:val="22"/>
        </w:rPr>
        <w:t xml:space="preserve">site </w:t>
      </w:r>
      <w:r w:rsidRPr="00EF26B6">
        <w:rPr>
          <w:rFonts w:asciiTheme="minorHAnsi" w:hAnsiTheme="minorHAnsi" w:cstheme="minorHAnsi"/>
          <w:bCs/>
          <w:sz w:val="22"/>
          <w:szCs w:val="22"/>
        </w:rPr>
        <w:t>set up for the FS Application Dependency Assessment</w:t>
      </w:r>
      <w:r>
        <w:rPr>
          <w:rFonts w:asciiTheme="minorHAnsi" w:hAnsiTheme="minorHAnsi" w:cstheme="minorHAnsi"/>
          <w:bCs/>
          <w:sz w:val="22"/>
          <w:szCs w:val="22"/>
        </w:rPr>
        <w:t>,</w:t>
      </w:r>
      <w:r w:rsidRPr="00EF26B6">
        <w:rPr>
          <w:rFonts w:asciiTheme="minorHAnsi" w:hAnsiTheme="minorHAnsi" w:cstheme="minorHAnsi"/>
          <w:bCs/>
          <w:sz w:val="22"/>
          <w:szCs w:val="22"/>
        </w:rPr>
        <w:t xml:space="preserve"> and a </w:t>
      </w:r>
      <w:r>
        <w:rPr>
          <w:rFonts w:asciiTheme="minorHAnsi" w:hAnsiTheme="minorHAnsi" w:cstheme="minorHAnsi"/>
          <w:bCs/>
          <w:sz w:val="22"/>
          <w:szCs w:val="22"/>
        </w:rPr>
        <w:t>site</w:t>
      </w:r>
      <w:r w:rsidRPr="00EF26B6">
        <w:rPr>
          <w:rFonts w:asciiTheme="minorHAnsi" w:hAnsiTheme="minorHAnsi" w:cstheme="minorHAnsi"/>
          <w:bCs/>
          <w:sz w:val="22"/>
          <w:szCs w:val="22"/>
        </w:rPr>
        <w:t xml:space="preserve"> for review and comment on changes to the Data Dictionary/Geodatabase Design</w:t>
      </w:r>
      <w:r>
        <w:rPr>
          <w:rFonts w:asciiTheme="minorHAnsi" w:hAnsiTheme="minorHAnsi" w:cstheme="minorHAnsi"/>
          <w:bCs/>
          <w:sz w:val="22"/>
          <w:szCs w:val="22"/>
        </w:rPr>
        <w:t>.</w:t>
      </w:r>
      <w:r w:rsidRPr="001314DB">
        <w:rPr>
          <w:rFonts w:asciiTheme="minorHAnsi" w:hAnsiTheme="minorHAnsi" w:cstheme="minorHAnsi"/>
          <w:bCs/>
          <w:sz w:val="22"/>
          <w:szCs w:val="22"/>
        </w:rPr>
        <w:t xml:space="preserve"> </w:t>
      </w:r>
    </w:p>
    <w:p w14:paraId="44B66C63" w14:textId="77777777" w:rsidR="00783DBD" w:rsidRDefault="00783DBD" w:rsidP="00783DBD">
      <w:pPr>
        <w:spacing w:after="200"/>
        <w:rPr>
          <w:rFonts w:asciiTheme="minorHAnsi" w:hAnsiTheme="minorHAnsi" w:cstheme="minorHAnsi"/>
          <w:bCs/>
          <w:sz w:val="22"/>
          <w:szCs w:val="22"/>
        </w:rPr>
      </w:pPr>
      <w:r>
        <w:rPr>
          <w:rFonts w:asciiTheme="minorHAnsi" w:hAnsiTheme="minorHAnsi" w:cstheme="minorHAnsi"/>
          <w:bCs/>
          <w:sz w:val="22"/>
          <w:szCs w:val="22"/>
        </w:rPr>
        <w:t xml:space="preserve">Steve Solem reviewed the website posted on the Ecosystem Management Coordination staff’s webpage and its structure (see </w:t>
      </w:r>
      <w:hyperlink r:id="rId9" w:history="1">
        <w:r w:rsidRPr="002E610B">
          <w:rPr>
            <w:rStyle w:val="Hyperlink"/>
            <w:rFonts w:asciiTheme="minorHAnsi" w:hAnsiTheme="minorHAnsi" w:cstheme="minorHAnsi"/>
            <w:bCs/>
            <w:sz w:val="22"/>
            <w:szCs w:val="22"/>
          </w:rPr>
          <w:t>http://www.fs.fed.us/emc/rig/protocols/groundwater.shtml</w:t>
        </w:r>
      </w:hyperlink>
      <w:r>
        <w:rPr>
          <w:rFonts w:asciiTheme="minorHAnsi" w:hAnsiTheme="minorHAnsi" w:cstheme="minorHAnsi"/>
          <w:bCs/>
          <w:sz w:val="22"/>
          <w:szCs w:val="22"/>
        </w:rPr>
        <w:t>).  The top section of the page contains transitory material that will only be available during the review.  The bottom portion of the page contains content related to the Groundwater Technical Guide Development Program and will serve as the main groundwater Technical Guide development page.</w:t>
      </w:r>
    </w:p>
    <w:p w14:paraId="2568F09A" w14:textId="77777777" w:rsidR="00783DBD" w:rsidRDefault="00870121" w:rsidP="00783DBD">
      <w:pPr>
        <w:spacing w:after="200"/>
        <w:rPr>
          <w:rFonts w:asciiTheme="minorHAnsi" w:hAnsiTheme="minorHAnsi" w:cstheme="minorHAnsi"/>
          <w:bCs/>
          <w:sz w:val="22"/>
          <w:szCs w:val="22"/>
        </w:rPr>
      </w:pPr>
      <w:r>
        <w:rPr>
          <w:rFonts w:asciiTheme="minorHAnsi" w:hAnsiTheme="minorHAnsi" w:cstheme="minorHAnsi"/>
          <w:bCs/>
          <w:sz w:val="22"/>
          <w:szCs w:val="22"/>
        </w:rPr>
        <w:t>Steering</w:t>
      </w:r>
      <w:r w:rsidR="00783DBD">
        <w:rPr>
          <w:rFonts w:asciiTheme="minorHAnsi" w:hAnsiTheme="minorHAnsi" w:cstheme="minorHAnsi"/>
          <w:bCs/>
          <w:sz w:val="22"/>
          <w:szCs w:val="22"/>
        </w:rPr>
        <w:t xml:space="preserve"> Team members are encouraged to contact both internal and external members of their networks and inform them of the opportunity to comment on the draft Technical Guide and other materials.</w:t>
      </w:r>
    </w:p>
    <w:p w14:paraId="45E3073B" w14:textId="77777777" w:rsidR="00441346" w:rsidRDefault="00441346" w:rsidP="00783DBD">
      <w:pPr>
        <w:spacing w:after="200"/>
        <w:rPr>
          <w:rFonts w:asciiTheme="minorHAnsi" w:hAnsiTheme="minorHAnsi" w:cstheme="minorHAnsi"/>
          <w:bCs/>
          <w:sz w:val="22"/>
          <w:szCs w:val="22"/>
        </w:rPr>
      </w:pPr>
      <w:r>
        <w:rPr>
          <w:rFonts w:asciiTheme="minorHAnsi" w:hAnsiTheme="minorHAnsi" w:cstheme="minorHAnsi"/>
          <w:bCs/>
          <w:sz w:val="22"/>
          <w:szCs w:val="22"/>
        </w:rPr>
        <w:t xml:space="preserve">Steve and Joe are working with Linda Spencer to set up briefings for NRM regarding the GW IM&amp;A Technical Guide and assessment of effects on FS corporate applications and databases.  Briefing materials for this session will be provided to members of the Core Team and </w:t>
      </w:r>
      <w:r w:rsidR="0002368D">
        <w:rPr>
          <w:rFonts w:asciiTheme="minorHAnsi" w:hAnsiTheme="minorHAnsi" w:cstheme="minorHAnsi"/>
          <w:bCs/>
          <w:sz w:val="22"/>
          <w:szCs w:val="22"/>
        </w:rPr>
        <w:t>Steering Team for use.  (A copy of the presentation and a briefing paper on the Groundwater Technical Guide Development Plan will be provided to the Steering Team with these notes.)</w:t>
      </w:r>
    </w:p>
    <w:p w14:paraId="3199409F" w14:textId="77777777" w:rsidR="00441346" w:rsidRDefault="00783DBD" w:rsidP="00783DBD">
      <w:pPr>
        <w:spacing w:after="200"/>
        <w:rPr>
          <w:rFonts w:asciiTheme="minorHAnsi" w:hAnsiTheme="minorHAnsi" w:cstheme="minorHAnsi"/>
          <w:bCs/>
          <w:sz w:val="22"/>
          <w:szCs w:val="22"/>
        </w:rPr>
      </w:pPr>
      <w:r>
        <w:rPr>
          <w:rFonts w:asciiTheme="minorHAnsi" w:hAnsiTheme="minorHAnsi" w:cstheme="minorHAnsi"/>
          <w:bCs/>
          <w:sz w:val="22"/>
          <w:szCs w:val="22"/>
        </w:rPr>
        <w:t xml:space="preserve">Steve also indicated that briefings for TNC and the Utah State Geological Survey on the </w:t>
      </w:r>
      <w:r w:rsidR="00870121">
        <w:rPr>
          <w:rFonts w:asciiTheme="minorHAnsi" w:hAnsiTheme="minorHAnsi" w:cstheme="minorHAnsi"/>
          <w:bCs/>
          <w:sz w:val="22"/>
          <w:szCs w:val="22"/>
        </w:rPr>
        <w:t xml:space="preserve">draft IM&amp;A Technical Guide and supporting </w:t>
      </w:r>
      <w:r>
        <w:rPr>
          <w:rFonts w:asciiTheme="minorHAnsi" w:hAnsiTheme="minorHAnsi" w:cstheme="minorHAnsi"/>
          <w:bCs/>
          <w:sz w:val="22"/>
          <w:szCs w:val="22"/>
        </w:rPr>
        <w:t xml:space="preserve">data dictionary </w:t>
      </w:r>
      <w:r w:rsidR="00870121">
        <w:rPr>
          <w:rFonts w:asciiTheme="minorHAnsi" w:hAnsiTheme="minorHAnsi" w:cstheme="minorHAnsi"/>
          <w:bCs/>
          <w:sz w:val="22"/>
          <w:szCs w:val="22"/>
        </w:rPr>
        <w:t xml:space="preserve">changes </w:t>
      </w:r>
      <w:r>
        <w:rPr>
          <w:rFonts w:asciiTheme="minorHAnsi" w:hAnsiTheme="minorHAnsi" w:cstheme="minorHAnsi"/>
          <w:bCs/>
          <w:sz w:val="22"/>
          <w:szCs w:val="22"/>
        </w:rPr>
        <w:t>and geo-database design are being scheduled to obtain their comments on the proposal.</w:t>
      </w:r>
    </w:p>
    <w:p w14:paraId="5F50D399" w14:textId="77777777" w:rsidR="00783DBD" w:rsidRDefault="00870121" w:rsidP="00783DBD">
      <w:pPr>
        <w:spacing w:after="200"/>
        <w:rPr>
          <w:rFonts w:asciiTheme="minorHAnsi" w:hAnsiTheme="minorHAnsi" w:cstheme="minorHAnsi"/>
          <w:bCs/>
          <w:sz w:val="22"/>
          <w:szCs w:val="22"/>
          <w:u w:val="single"/>
        </w:rPr>
      </w:pPr>
      <w:r>
        <w:rPr>
          <w:rFonts w:asciiTheme="minorHAnsi" w:hAnsiTheme="minorHAnsi" w:cstheme="minorHAnsi"/>
          <w:bCs/>
          <w:sz w:val="22"/>
          <w:szCs w:val="22"/>
          <w:u w:val="single"/>
        </w:rPr>
        <w:t>S</w:t>
      </w:r>
      <w:r w:rsidR="00783DBD" w:rsidRPr="00C36CA1">
        <w:rPr>
          <w:rFonts w:asciiTheme="minorHAnsi" w:hAnsiTheme="minorHAnsi" w:cstheme="minorHAnsi"/>
          <w:bCs/>
          <w:sz w:val="22"/>
          <w:szCs w:val="22"/>
          <w:u w:val="single"/>
        </w:rPr>
        <w:t>T Discussion on the Review Process</w:t>
      </w:r>
    </w:p>
    <w:p w14:paraId="3AD28B7E" w14:textId="77777777" w:rsidR="00870121" w:rsidRDefault="00870121" w:rsidP="00783DBD">
      <w:pPr>
        <w:spacing w:after="200"/>
        <w:rPr>
          <w:rFonts w:asciiTheme="minorHAnsi" w:hAnsiTheme="minorHAnsi" w:cstheme="minorHAnsi"/>
          <w:bCs/>
          <w:sz w:val="22"/>
          <w:szCs w:val="22"/>
        </w:rPr>
      </w:pPr>
      <w:r w:rsidRPr="00441346">
        <w:rPr>
          <w:rFonts w:asciiTheme="minorHAnsi" w:hAnsiTheme="minorHAnsi" w:cstheme="minorHAnsi"/>
          <w:bCs/>
          <w:sz w:val="22"/>
          <w:szCs w:val="22"/>
        </w:rPr>
        <w:t xml:space="preserve">Pete </w:t>
      </w:r>
      <w:proofErr w:type="spellStart"/>
      <w:r w:rsidRPr="00441346">
        <w:rPr>
          <w:rFonts w:asciiTheme="minorHAnsi" w:hAnsiTheme="minorHAnsi" w:cstheme="minorHAnsi"/>
          <w:bCs/>
          <w:sz w:val="22"/>
          <w:szCs w:val="22"/>
        </w:rPr>
        <w:t>Kilbourne’s</w:t>
      </w:r>
      <w:proofErr w:type="spellEnd"/>
      <w:r w:rsidRPr="00441346">
        <w:rPr>
          <w:rFonts w:asciiTheme="minorHAnsi" w:hAnsiTheme="minorHAnsi" w:cstheme="minorHAnsi"/>
          <w:bCs/>
          <w:sz w:val="22"/>
          <w:szCs w:val="22"/>
        </w:rPr>
        <w:t xml:space="preserve"> briefing for the Utah Geological Survey occurred just prior to the Steering Team and he </w:t>
      </w:r>
      <w:r w:rsidR="00441346" w:rsidRPr="00441346">
        <w:rPr>
          <w:rFonts w:asciiTheme="minorHAnsi" w:hAnsiTheme="minorHAnsi" w:cstheme="minorHAnsi"/>
          <w:bCs/>
          <w:sz w:val="22"/>
          <w:szCs w:val="22"/>
        </w:rPr>
        <w:t xml:space="preserve">related that the Utah GS was very supportive and interested in assisting the FS with inventories using the procedures outlined in the GW IM&amp;A Technical Guide.  </w:t>
      </w:r>
      <w:r w:rsidR="00441346">
        <w:rPr>
          <w:rFonts w:asciiTheme="minorHAnsi" w:hAnsiTheme="minorHAnsi" w:cstheme="minorHAnsi"/>
          <w:bCs/>
          <w:sz w:val="22"/>
          <w:szCs w:val="22"/>
        </w:rPr>
        <w:t xml:space="preserve">The Utah Geological Survey has been conducting springs and other groundwater inventories on a number of Utah National Forests under agreement with those Forests.  </w:t>
      </w:r>
      <w:r w:rsidR="00441346" w:rsidRPr="00441346">
        <w:rPr>
          <w:rFonts w:asciiTheme="minorHAnsi" w:hAnsiTheme="minorHAnsi" w:cstheme="minorHAnsi"/>
          <w:bCs/>
          <w:sz w:val="22"/>
          <w:szCs w:val="22"/>
        </w:rPr>
        <w:t>They will provide specific feedback on the data dictionary changes, but were encouraged to see the FS provide an approach consist</w:t>
      </w:r>
      <w:r w:rsidR="00441346">
        <w:rPr>
          <w:rFonts w:asciiTheme="minorHAnsi" w:hAnsiTheme="minorHAnsi" w:cstheme="minorHAnsi"/>
          <w:bCs/>
          <w:sz w:val="22"/>
          <w:szCs w:val="22"/>
        </w:rPr>
        <w:t>ent with their business needs.</w:t>
      </w:r>
    </w:p>
    <w:p w14:paraId="3A3E44BA" w14:textId="77777777" w:rsidR="0002368D" w:rsidRDefault="0002368D" w:rsidP="00783DBD">
      <w:pPr>
        <w:spacing w:after="200"/>
        <w:rPr>
          <w:rFonts w:asciiTheme="minorHAnsi" w:hAnsiTheme="minorHAnsi" w:cstheme="minorHAnsi"/>
          <w:bCs/>
          <w:sz w:val="22"/>
          <w:szCs w:val="22"/>
        </w:rPr>
      </w:pPr>
      <w:r>
        <w:rPr>
          <w:rFonts w:asciiTheme="minorHAnsi" w:hAnsiTheme="minorHAnsi" w:cstheme="minorHAnsi"/>
          <w:bCs/>
          <w:sz w:val="22"/>
          <w:szCs w:val="22"/>
        </w:rPr>
        <w:t>Joe shared with the group that given the limited expertise within the FS and other agencies regarding groundwater inventory, monitoring and assessment he was particularly encouraged by a commitment from Jim LaBaugh (USGS) to provide a thorough review and to coordinate the USGS review of the Technical Guide.</w:t>
      </w:r>
    </w:p>
    <w:p w14:paraId="01DF7941" w14:textId="77777777" w:rsidR="0002368D" w:rsidRPr="00441346" w:rsidRDefault="0002368D" w:rsidP="00783DBD">
      <w:pPr>
        <w:spacing w:after="200"/>
        <w:rPr>
          <w:rFonts w:asciiTheme="minorHAnsi" w:hAnsiTheme="minorHAnsi" w:cstheme="minorHAnsi"/>
          <w:bCs/>
          <w:sz w:val="22"/>
          <w:szCs w:val="22"/>
        </w:rPr>
      </w:pPr>
      <w:r>
        <w:rPr>
          <w:rFonts w:asciiTheme="minorHAnsi" w:hAnsiTheme="minorHAnsi" w:cstheme="minorHAnsi"/>
          <w:bCs/>
          <w:sz w:val="22"/>
          <w:szCs w:val="22"/>
        </w:rPr>
        <w:t>Joe also shared that he had already received positive review comments from the Riparian Service Team and other reviewers.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
        <w:gridCol w:w="8298"/>
      </w:tblGrid>
      <w:tr w:rsidR="00783DBD" w:rsidRPr="00EF26B6" w14:paraId="61194518" w14:textId="77777777" w:rsidTr="00783DBD">
        <w:tc>
          <w:tcPr>
            <w:tcW w:w="1098" w:type="dxa"/>
            <w:shd w:val="clear" w:color="auto" w:fill="C6D9F1" w:themeFill="text2" w:themeFillTint="33"/>
          </w:tcPr>
          <w:p w14:paraId="753B5261" w14:textId="77777777" w:rsidR="00783DBD" w:rsidRPr="00692967" w:rsidRDefault="00783DBD" w:rsidP="00783DBD">
            <w:pPr>
              <w:rPr>
                <w:rStyle w:val="Strong"/>
                <w:rFonts w:asciiTheme="minorHAnsi" w:hAnsiTheme="minorHAnsi" w:cs="Arial"/>
                <w:b w:val="0"/>
                <w:sz w:val="22"/>
                <w:szCs w:val="22"/>
              </w:rPr>
            </w:pPr>
            <w:r w:rsidRPr="00692967">
              <w:rPr>
                <w:rFonts w:asciiTheme="minorHAnsi" w:hAnsiTheme="minorHAnsi" w:cs="Arial"/>
                <w:b/>
                <w:bCs/>
                <w:sz w:val="22"/>
                <w:szCs w:val="22"/>
              </w:rPr>
              <w:t xml:space="preserve">Action:  </w:t>
            </w:r>
          </w:p>
        </w:tc>
        <w:tc>
          <w:tcPr>
            <w:tcW w:w="8298" w:type="dxa"/>
            <w:shd w:val="clear" w:color="auto" w:fill="C6D9F1" w:themeFill="text2" w:themeFillTint="33"/>
          </w:tcPr>
          <w:p w14:paraId="7FD4540A" w14:textId="77777777" w:rsidR="00783DBD" w:rsidRPr="00692967" w:rsidRDefault="00441346" w:rsidP="00783DBD">
            <w:pPr>
              <w:pStyle w:val="ListParagraph"/>
              <w:numPr>
                <w:ilvl w:val="0"/>
                <w:numId w:val="35"/>
              </w:numPr>
              <w:spacing w:after="120"/>
              <w:ind w:left="159" w:hanging="202"/>
              <w:contextualSpacing w:val="0"/>
              <w:rPr>
                <w:rStyle w:val="Strong"/>
                <w:rFonts w:asciiTheme="minorHAnsi" w:hAnsiTheme="minorHAnsi" w:cs="Arial"/>
                <w:b w:val="0"/>
                <w:sz w:val="22"/>
                <w:szCs w:val="22"/>
              </w:rPr>
            </w:pPr>
            <w:r>
              <w:rPr>
                <w:rFonts w:asciiTheme="minorHAnsi" w:hAnsiTheme="minorHAnsi" w:cstheme="minorHAnsi"/>
                <w:bCs/>
                <w:sz w:val="22"/>
                <w:szCs w:val="22"/>
              </w:rPr>
              <w:t>Steering Team members should contact members of their networks to provide them notice of the opportunity to review and comment on the draft GW IM&amp;A Technical Guide and to refer them to the project website for information.</w:t>
            </w:r>
          </w:p>
          <w:p w14:paraId="0FA8FDB2" w14:textId="77777777" w:rsidR="00783DBD" w:rsidRPr="00692967" w:rsidRDefault="00441346" w:rsidP="00783DBD">
            <w:pPr>
              <w:pStyle w:val="ListParagraph"/>
              <w:numPr>
                <w:ilvl w:val="0"/>
                <w:numId w:val="35"/>
              </w:numPr>
              <w:spacing w:after="120"/>
              <w:ind w:left="159" w:hanging="202"/>
              <w:contextualSpacing w:val="0"/>
              <w:rPr>
                <w:rStyle w:val="Strong"/>
                <w:rFonts w:asciiTheme="minorHAnsi" w:hAnsiTheme="minorHAnsi" w:cs="Arial"/>
                <w:b w:val="0"/>
                <w:sz w:val="22"/>
                <w:szCs w:val="22"/>
              </w:rPr>
            </w:pPr>
            <w:r>
              <w:rPr>
                <w:rFonts w:asciiTheme="minorHAnsi" w:hAnsiTheme="minorHAnsi" w:cstheme="minorHAnsi"/>
                <w:sz w:val="22"/>
                <w:szCs w:val="22"/>
              </w:rPr>
              <w:t>Steering</w:t>
            </w:r>
            <w:r w:rsidR="00783DBD">
              <w:rPr>
                <w:rFonts w:asciiTheme="minorHAnsi" w:hAnsiTheme="minorHAnsi" w:cstheme="minorHAnsi"/>
                <w:sz w:val="22"/>
                <w:szCs w:val="22"/>
              </w:rPr>
              <w:t xml:space="preserve"> Team c</w:t>
            </w:r>
            <w:r w:rsidR="00783DBD">
              <w:rPr>
                <w:rFonts w:asciiTheme="minorHAnsi" w:hAnsiTheme="minorHAnsi" w:cstheme="minorHAnsi"/>
                <w:bCs/>
                <w:sz w:val="22"/>
                <w:szCs w:val="22"/>
              </w:rPr>
              <w:t>omments on the review materials should be submitted to Joe Gurrieri and Steve Solem and are due March 21, 2014.</w:t>
            </w:r>
          </w:p>
        </w:tc>
      </w:tr>
    </w:tbl>
    <w:p w14:paraId="217C82BC" w14:textId="77777777" w:rsidR="00783DBD" w:rsidRPr="00577BDC" w:rsidRDefault="00783DBD" w:rsidP="00461F4D">
      <w:pPr>
        <w:pStyle w:val="Heading1"/>
        <w:numPr>
          <w:ilvl w:val="0"/>
          <w:numId w:val="34"/>
        </w:numPr>
        <w:rPr>
          <w:color w:val="auto"/>
        </w:rPr>
      </w:pPr>
      <w:r>
        <w:lastRenderedPageBreak/>
        <w:t>R</w:t>
      </w:r>
      <w:r w:rsidRPr="003D7B9A">
        <w:t xml:space="preserve">evision of TG for Managing Groundwater Resources </w:t>
      </w:r>
    </w:p>
    <w:p w14:paraId="40B0380B" w14:textId="77777777" w:rsidR="00783DBD" w:rsidRDefault="00783DBD" w:rsidP="00783DBD">
      <w:pPr>
        <w:spacing w:after="200"/>
        <w:rPr>
          <w:rStyle w:val="Strong"/>
          <w:rFonts w:asciiTheme="minorHAnsi" w:hAnsiTheme="minorHAnsi" w:cstheme="minorHAnsi"/>
          <w:b w:val="0"/>
          <w:bCs w:val="0"/>
          <w:sz w:val="22"/>
          <w:szCs w:val="22"/>
        </w:rPr>
      </w:pPr>
      <w:r w:rsidRPr="00EF26B6">
        <w:rPr>
          <w:rStyle w:val="Strong"/>
          <w:rFonts w:asciiTheme="minorHAnsi" w:hAnsiTheme="minorHAnsi" w:cstheme="minorHAnsi"/>
          <w:b w:val="0"/>
          <w:bCs w:val="0"/>
          <w:sz w:val="22"/>
          <w:szCs w:val="22"/>
        </w:rPr>
        <w:t xml:space="preserve">The effort to revise this Technical Guide </w:t>
      </w:r>
      <w:r>
        <w:rPr>
          <w:rStyle w:val="Strong"/>
          <w:rFonts w:asciiTheme="minorHAnsi" w:hAnsiTheme="minorHAnsi" w:cstheme="minorHAnsi"/>
          <w:b w:val="0"/>
          <w:bCs w:val="0"/>
          <w:sz w:val="22"/>
          <w:szCs w:val="22"/>
        </w:rPr>
        <w:t>begins in May 2014 following agreement on the revision scope by the Steering Team.  As t</w:t>
      </w:r>
      <w:r w:rsidRPr="00EF26B6">
        <w:rPr>
          <w:rStyle w:val="Strong"/>
          <w:rFonts w:asciiTheme="minorHAnsi" w:hAnsiTheme="minorHAnsi" w:cstheme="minorHAnsi"/>
          <w:b w:val="0"/>
          <w:bCs w:val="0"/>
          <w:sz w:val="22"/>
          <w:szCs w:val="22"/>
        </w:rPr>
        <w:t xml:space="preserve">he first step of this process </w:t>
      </w:r>
      <w:r>
        <w:rPr>
          <w:rStyle w:val="Strong"/>
          <w:rFonts w:asciiTheme="minorHAnsi" w:hAnsiTheme="minorHAnsi" w:cstheme="minorHAnsi"/>
          <w:b w:val="0"/>
          <w:bCs w:val="0"/>
          <w:sz w:val="22"/>
          <w:szCs w:val="22"/>
        </w:rPr>
        <w:t>defining</w:t>
      </w:r>
      <w:r w:rsidRPr="00EF26B6">
        <w:rPr>
          <w:rStyle w:val="Strong"/>
          <w:rFonts w:asciiTheme="minorHAnsi" w:hAnsiTheme="minorHAnsi" w:cstheme="minorHAnsi"/>
          <w:b w:val="0"/>
          <w:bCs w:val="0"/>
          <w:sz w:val="22"/>
          <w:szCs w:val="22"/>
        </w:rPr>
        <w:t xml:space="preserve"> the</w:t>
      </w:r>
      <w:r>
        <w:rPr>
          <w:rStyle w:val="Strong"/>
          <w:rFonts w:asciiTheme="minorHAnsi" w:hAnsiTheme="minorHAnsi" w:cstheme="minorHAnsi"/>
          <w:b w:val="0"/>
          <w:bCs w:val="0"/>
          <w:sz w:val="22"/>
          <w:szCs w:val="22"/>
        </w:rPr>
        <w:t xml:space="preserve"> scope of the revision effort identifies development/revision needs and sets the stage for organizing the revision effort.  </w:t>
      </w:r>
    </w:p>
    <w:p w14:paraId="4362DE5B" w14:textId="77777777" w:rsidR="00783DBD" w:rsidRDefault="00783DBD" w:rsidP="00783DBD">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Joe Gurrieri developed a preliminary outline of the Technical Guide using the outline from the existing Technical Guide to assist in defining the revision scope and requested CT review and feedback on the proposed outline.  The revised outline of the Technical Guide was distributed to the Steering Team with the agenda for this call.  </w:t>
      </w:r>
      <w:r w:rsidR="007C6C16">
        <w:rPr>
          <w:rStyle w:val="Strong"/>
          <w:rFonts w:asciiTheme="minorHAnsi" w:hAnsiTheme="minorHAnsi" w:cstheme="minorHAnsi"/>
          <w:b w:val="0"/>
          <w:bCs w:val="0"/>
          <w:sz w:val="22"/>
          <w:szCs w:val="22"/>
        </w:rPr>
        <w:t>(</w:t>
      </w:r>
      <w:r>
        <w:rPr>
          <w:rStyle w:val="Strong"/>
          <w:rFonts w:asciiTheme="minorHAnsi" w:hAnsiTheme="minorHAnsi" w:cstheme="minorHAnsi"/>
          <w:b w:val="0"/>
          <w:bCs w:val="0"/>
          <w:sz w:val="22"/>
          <w:szCs w:val="22"/>
        </w:rPr>
        <w:t>A copy of the revised outline is appended to these notes.</w:t>
      </w:r>
      <w:r w:rsidR="007C6C16">
        <w:rPr>
          <w:rStyle w:val="Strong"/>
          <w:rFonts w:asciiTheme="minorHAnsi" w:hAnsiTheme="minorHAnsi" w:cstheme="minorHAnsi"/>
          <w:b w:val="0"/>
          <w:bCs w:val="0"/>
          <w:sz w:val="22"/>
          <w:szCs w:val="22"/>
        </w:rPr>
        <w:t>)</w:t>
      </w:r>
    </w:p>
    <w:p w14:paraId="42F9132A" w14:textId="77777777" w:rsidR="00783DBD" w:rsidRDefault="00783DBD" w:rsidP="00783DBD">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The process for the revising Management Technical Guide will be similar to that used to develop the Groundwater IM&amp;A Technical Guide.  However, from Joe’s perspective, he believes the revision of the Management Technical Guide will require additional </w:t>
      </w:r>
      <w:r w:rsidR="007C6C16">
        <w:rPr>
          <w:rStyle w:val="Strong"/>
          <w:rFonts w:asciiTheme="minorHAnsi" w:hAnsiTheme="minorHAnsi" w:cstheme="minorHAnsi"/>
          <w:b w:val="0"/>
          <w:bCs w:val="0"/>
          <w:sz w:val="22"/>
          <w:szCs w:val="22"/>
        </w:rPr>
        <w:t xml:space="preserve">involvement </w:t>
      </w:r>
      <w:r>
        <w:rPr>
          <w:rStyle w:val="Strong"/>
          <w:rFonts w:asciiTheme="minorHAnsi" w:hAnsiTheme="minorHAnsi" w:cstheme="minorHAnsi"/>
          <w:b w:val="0"/>
          <w:bCs w:val="0"/>
          <w:sz w:val="22"/>
          <w:szCs w:val="22"/>
        </w:rPr>
        <w:t>from multiple program areas because the revision</w:t>
      </w:r>
      <w:r w:rsidR="007C6C16">
        <w:rPr>
          <w:rStyle w:val="Strong"/>
          <w:rFonts w:asciiTheme="minorHAnsi" w:hAnsiTheme="minorHAnsi" w:cstheme="minorHAnsi"/>
          <w:b w:val="0"/>
          <w:bCs w:val="0"/>
          <w:sz w:val="22"/>
          <w:szCs w:val="22"/>
        </w:rPr>
        <w:t xml:space="preserve"> effort will involve developing</w:t>
      </w:r>
      <w:r>
        <w:rPr>
          <w:rStyle w:val="Strong"/>
          <w:rFonts w:asciiTheme="minorHAnsi" w:hAnsiTheme="minorHAnsi" w:cstheme="minorHAnsi"/>
          <w:b w:val="0"/>
          <w:bCs w:val="0"/>
          <w:sz w:val="22"/>
          <w:szCs w:val="22"/>
        </w:rPr>
        <w:t xml:space="preserve"> guidance regarding the assessment of projects and activities affecting groundwater.  Without agreement during the development phase on how the assessment and analysis of project effects should be framed, staff in these program areas may not agree to the guidance and the development effort could get bogged down.</w:t>
      </w:r>
    </w:p>
    <w:p w14:paraId="6860FE62" w14:textId="77777777" w:rsidR="007C6C16" w:rsidRDefault="00783DBD" w:rsidP="00783DBD">
      <w:pPr>
        <w:spacing w:after="200"/>
        <w:rPr>
          <w:rStyle w:val="Strong"/>
          <w:rFonts w:asciiTheme="minorHAnsi" w:hAnsiTheme="minorHAnsi" w:cstheme="minorHAnsi"/>
          <w:b w:val="0"/>
          <w:bCs w:val="0"/>
          <w:sz w:val="22"/>
          <w:szCs w:val="22"/>
        </w:rPr>
      </w:pPr>
      <w:r w:rsidRPr="00B36716">
        <w:rPr>
          <w:rFonts w:asciiTheme="minorHAnsi" w:hAnsiTheme="minorHAnsi" w:cstheme="minorHAnsi"/>
          <w:sz w:val="22"/>
          <w:szCs w:val="22"/>
        </w:rPr>
        <w:t xml:space="preserve">This </w:t>
      </w:r>
      <w:r w:rsidR="007C6C16">
        <w:rPr>
          <w:rFonts w:asciiTheme="minorHAnsi" w:hAnsiTheme="minorHAnsi" w:cstheme="minorHAnsi"/>
          <w:sz w:val="22"/>
          <w:szCs w:val="22"/>
        </w:rPr>
        <w:t xml:space="preserve">the composition of Working Groups involved in the revision effort </w:t>
      </w:r>
      <w:r w:rsidRPr="00B36716">
        <w:rPr>
          <w:rFonts w:asciiTheme="minorHAnsi" w:hAnsiTheme="minorHAnsi" w:cstheme="minorHAnsi"/>
          <w:sz w:val="22"/>
          <w:szCs w:val="22"/>
        </w:rPr>
        <w:t xml:space="preserve">should </w:t>
      </w:r>
      <w:r>
        <w:rPr>
          <w:rFonts w:asciiTheme="minorHAnsi" w:hAnsiTheme="minorHAnsi" w:cstheme="minorHAnsi"/>
          <w:sz w:val="22"/>
          <w:szCs w:val="22"/>
        </w:rPr>
        <w:t xml:space="preserve">be </w:t>
      </w:r>
      <w:r w:rsidRPr="00B36716">
        <w:rPr>
          <w:rFonts w:asciiTheme="minorHAnsi" w:hAnsiTheme="minorHAnsi" w:cstheme="minorHAnsi"/>
          <w:sz w:val="22"/>
          <w:szCs w:val="22"/>
        </w:rPr>
        <w:t xml:space="preserve">include </w:t>
      </w:r>
      <w:r>
        <w:rPr>
          <w:rFonts w:asciiTheme="minorHAnsi" w:hAnsiTheme="minorHAnsi" w:cstheme="minorHAnsi"/>
          <w:sz w:val="22"/>
          <w:szCs w:val="22"/>
        </w:rPr>
        <w:t>representatives from these key</w:t>
      </w:r>
      <w:r w:rsidRPr="00B36716">
        <w:rPr>
          <w:rFonts w:asciiTheme="minorHAnsi" w:hAnsiTheme="minorHAnsi" w:cstheme="minorHAnsi"/>
          <w:sz w:val="22"/>
          <w:szCs w:val="22"/>
        </w:rPr>
        <w:t xml:space="preserve"> program areas</w:t>
      </w:r>
      <w:r w:rsidR="007C6C16">
        <w:rPr>
          <w:rFonts w:asciiTheme="minorHAnsi" w:hAnsiTheme="minorHAnsi" w:cstheme="minorHAnsi"/>
          <w:sz w:val="22"/>
          <w:szCs w:val="22"/>
        </w:rPr>
        <w:t xml:space="preserve"> and that membership of the Core Team and Steering Teams may need to be expanded</w:t>
      </w:r>
      <w:r w:rsidRPr="00B36716">
        <w:rPr>
          <w:rFonts w:asciiTheme="minorHAnsi" w:hAnsiTheme="minorHAnsi" w:cstheme="minorHAnsi"/>
          <w:sz w:val="22"/>
          <w:szCs w:val="22"/>
        </w:rPr>
        <w:t xml:space="preserve">. </w:t>
      </w:r>
      <w:r>
        <w:rPr>
          <w:rFonts w:asciiTheme="minorHAnsi" w:hAnsiTheme="minorHAnsi" w:cstheme="minorHAnsi"/>
          <w:sz w:val="22"/>
          <w:szCs w:val="22"/>
        </w:rPr>
        <w:t xml:space="preserve">However, </w:t>
      </w:r>
      <w:r>
        <w:rPr>
          <w:rStyle w:val="Strong"/>
          <w:rFonts w:asciiTheme="minorHAnsi" w:hAnsiTheme="minorHAnsi" w:cstheme="minorHAnsi"/>
          <w:b w:val="0"/>
          <w:bCs w:val="0"/>
          <w:sz w:val="22"/>
          <w:szCs w:val="22"/>
        </w:rPr>
        <w:t xml:space="preserve">Joe suggests waiting to pursue </w:t>
      </w:r>
      <w:r w:rsidR="007C6C16">
        <w:rPr>
          <w:rStyle w:val="Strong"/>
          <w:rFonts w:asciiTheme="minorHAnsi" w:hAnsiTheme="minorHAnsi" w:cstheme="minorHAnsi"/>
          <w:b w:val="0"/>
          <w:bCs w:val="0"/>
          <w:sz w:val="22"/>
          <w:szCs w:val="22"/>
        </w:rPr>
        <w:t>changes in the Core Team and Steering Team</w:t>
      </w:r>
      <w:r>
        <w:rPr>
          <w:rStyle w:val="Strong"/>
          <w:rFonts w:asciiTheme="minorHAnsi" w:hAnsiTheme="minorHAnsi" w:cstheme="minorHAnsi"/>
          <w:b w:val="0"/>
          <w:bCs w:val="0"/>
          <w:sz w:val="22"/>
          <w:szCs w:val="22"/>
        </w:rPr>
        <w:t xml:space="preserve"> membership until the scope of the revisi</w:t>
      </w:r>
      <w:r w:rsidR="007C6C16">
        <w:rPr>
          <w:rStyle w:val="Strong"/>
          <w:rFonts w:asciiTheme="minorHAnsi" w:hAnsiTheme="minorHAnsi" w:cstheme="minorHAnsi"/>
          <w:b w:val="0"/>
          <w:bCs w:val="0"/>
          <w:sz w:val="22"/>
          <w:szCs w:val="22"/>
        </w:rPr>
        <w:t>on document is better defined.</w:t>
      </w:r>
    </w:p>
    <w:p w14:paraId="6C0BE46B" w14:textId="20F432F8" w:rsidR="007C6C16" w:rsidRDefault="007C6C16" w:rsidP="00783DBD">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Steve Solem wrapped up the general overview of the revision effort by pointing out that during their April 10 call the Core Team will develop a recommendation on the proposed outline for the Steering Team’s approval.  The Steering Team will review and approve the revi</w:t>
      </w:r>
      <w:r w:rsidR="002D0EAF">
        <w:rPr>
          <w:rStyle w:val="Strong"/>
          <w:rFonts w:asciiTheme="minorHAnsi" w:hAnsiTheme="minorHAnsi" w:cstheme="minorHAnsi"/>
          <w:b w:val="0"/>
          <w:bCs w:val="0"/>
          <w:sz w:val="22"/>
          <w:szCs w:val="22"/>
        </w:rPr>
        <w:t>sion scope during their April 16</w:t>
      </w:r>
      <w:bookmarkStart w:id="0" w:name="_GoBack"/>
      <w:bookmarkEnd w:id="0"/>
      <w:r>
        <w:rPr>
          <w:rStyle w:val="Strong"/>
          <w:rFonts w:asciiTheme="minorHAnsi" w:hAnsiTheme="minorHAnsi" w:cstheme="minorHAnsi"/>
          <w:b w:val="0"/>
          <w:bCs w:val="0"/>
          <w:sz w:val="22"/>
          <w:szCs w:val="22"/>
        </w:rPr>
        <w:t xml:space="preserve"> call.  In the meantime, Steering Team members should provide suggestions to Joe regarding the preliminary outline, with a focus on missing content or suggestions on the overall structure.</w:t>
      </w:r>
    </w:p>
    <w:p w14:paraId="1F46CF84" w14:textId="77777777" w:rsidR="00783DBD" w:rsidRDefault="007C6C16" w:rsidP="00783DBD">
      <w:pPr>
        <w:spacing w:before="200" w:after="200"/>
        <w:rPr>
          <w:rStyle w:val="Strong"/>
          <w:rFonts w:asciiTheme="minorHAnsi" w:hAnsiTheme="minorHAnsi" w:cstheme="minorHAnsi"/>
          <w:b w:val="0"/>
          <w:bCs w:val="0"/>
          <w:sz w:val="22"/>
          <w:szCs w:val="22"/>
          <w:u w:val="single"/>
        </w:rPr>
      </w:pPr>
      <w:r>
        <w:rPr>
          <w:rStyle w:val="Strong"/>
          <w:rFonts w:asciiTheme="minorHAnsi" w:hAnsiTheme="minorHAnsi" w:cstheme="minorHAnsi"/>
          <w:b w:val="0"/>
          <w:bCs w:val="0"/>
          <w:sz w:val="22"/>
          <w:szCs w:val="22"/>
          <w:u w:val="single"/>
        </w:rPr>
        <w:t>S</w:t>
      </w:r>
      <w:r w:rsidR="00783DBD">
        <w:rPr>
          <w:rStyle w:val="Strong"/>
          <w:rFonts w:asciiTheme="minorHAnsi" w:hAnsiTheme="minorHAnsi" w:cstheme="minorHAnsi"/>
          <w:b w:val="0"/>
          <w:bCs w:val="0"/>
          <w:sz w:val="22"/>
          <w:szCs w:val="22"/>
          <w:u w:val="single"/>
        </w:rPr>
        <w:t>T Comments on Revision Scope Outline</w:t>
      </w:r>
    </w:p>
    <w:p w14:paraId="7A93AB21" w14:textId="77777777" w:rsidR="00926779" w:rsidRPr="00870121" w:rsidRDefault="00926779" w:rsidP="00783DBD">
      <w:pPr>
        <w:spacing w:before="200" w:after="200"/>
        <w:rPr>
          <w:rStyle w:val="Strong"/>
          <w:rFonts w:asciiTheme="minorHAnsi" w:hAnsiTheme="minorHAnsi" w:cstheme="minorHAnsi"/>
          <w:b w:val="0"/>
          <w:bCs w:val="0"/>
          <w:sz w:val="22"/>
          <w:szCs w:val="22"/>
        </w:rPr>
      </w:pPr>
      <w:r w:rsidRPr="00870121">
        <w:rPr>
          <w:rStyle w:val="Strong"/>
          <w:rFonts w:asciiTheme="minorHAnsi" w:hAnsiTheme="minorHAnsi" w:cstheme="minorHAnsi"/>
          <w:b w:val="0"/>
          <w:bCs w:val="0"/>
          <w:sz w:val="22"/>
          <w:szCs w:val="22"/>
        </w:rPr>
        <w:t>Members of the Steering Team provided positive feedback on the proposed outline and agreed that the overall organization of proposed content made sense.  During the ensuing discussion, the following topics received additional discussion.</w:t>
      </w:r>
    </w:p>
    <w:p w14:paraId="0E190954" w14:textId="77777777" w:rsidR="00926779" w:rsidRPr="00926779" w:rsidRDefault="00926779" w:rsidP="00926779">
      <w:pPr>
        <w:pStyle w:val="ListParagraph"/>
        <w:numPr>
          <w:ilvl w:val="0"/>
          <w:numId w:val="38"/>
        </w:numPr>
        <w:spacing w:before="200" w:after="200"/>
        <w:rPr>
          <w:rStyle w:val="Strong"/>
          <w:rFonts w:asciiTheme="minorHAnsi" w:hAnsiTheme="minorHAnsi" w:cstheme="minorHAnsi"/>
          <w:b w:val="0"/>
          <w:bCs w:val="0"/>
          <w:sz w:val="22"/>
          <w:szCs w:val="22"/>
          <w:u w:val="single"/>
        </w:rPr>
      </w:pPr>
      <w:r>
        <w:rPr>
          <w:rStyle w:val="Strong"/>
          <w:rFonts w:asciiTheme="minorHAnsi" w:hAnsiTheme="minorHAnsi" w:cstheme="minorHAnsi"/>
          <w:b w:val="0"/>
          <w:bCs w:val="0"/>
          <w:sz w:val="22"/>
          <w:szCs w:val="22"/>
          <w:u w:val="single"/>
        </w:rPr>
        <w:t xml:space="preserve">Framing Project </w:t>
      </w:r>
      <w:r w:rsidR="007C6C16" w:rsidRPr="00926779">
        <w:rPr>
          <w:rStyle w:val="Strong"/>
          <w:rFonts w:asciiTheme="minorHAnsi" w:hAnsiTheme="minorHAnsi" w:cstheme="minorHAnsi"/>
          <w:b w:val="0"/>
          <w:bCs w:val="0"/>
          <w:sz w:val="22"/>
          <w:szCs w:val="22"/>
          <w:u w:val="single"/>
        </w:rPr>
        <w:t>NEPA</w:t>
      </w:r>
      <w:r>
        <w:rPr>
          <w:rStyle w:val="Strong"/>
          <w:rFonts w:asciiTheme="minorHAnsi" w:hAnsiTheme="minorHAnsi" w:cstheme="minorHAnsi"/>
          <w:b w:val="0"/>
          <w:bCs w:val="0"/>
          <w:sz w:val="22"/>
          <w:szCs w:val="22"/>
          <w:u w:val="single"/>
        </w:rPr>
        <w:t xml:space="preserve"> considerations</w:t>
      </w:r>
      <w:r>
        <w:rPr>
          <w:rStyle w:val="Strong"/>
          <w:rFonts w:asciiTheme="minorHAnsi" w:hAnsiTheme="minorHAnsi" w:cstheme="minorHAnsi"/>
          <w:b w:val="0"/>
          <w:bCs w:val="0"/>
          <w:sz w:val="22"/>
          <w:szCs w:val="22"/>
        </w:rPr>
        <w:t xml:space="preserve"> – Steve Solem asked Tony </w:t>
      </w:r>
      <w:proofErr w:type="spellStart"/>
      <w:r>
        <w:rPr>
          <w:rStyle w:val="Strong"/>
          <w:rFonts w:asciiTheme="minorHAnsi" w:hAnsiTheme="minorHAnsi" w:cstheme="minorHAnsi"/>
          <w:b w:val="0"/>
          <w:bCs w:val="0"/>
          <w:sz w:val="22"/>
          <w:szCs w:val="22"/>
        </w:rPr>
        <w:t>Erba</w:t>
      </w:r>
      <w:proofErr w:type="spellEnd"/>
      <w:r>
        <w:rPr>
          <w:rStyle w:val="Strong"/>
          <w:rFonts w:asciiTheme="minorHAnsi" w:hAnsiTheme="minorHAnsi" w:cstheme="minorHAnsi"/>
          <w:b w:val="0"/>
          <w:bCs w:val="0"/>
          <w:sz w:val="22"/>
          <w:szCs w:val="22"/>
        </w:rPr>
        <w:t xml:space="preserve"> for his perspective on how best to frame NEPA considerations for NEPA analysis and documentation for various projects affecting groundwater resources and systems.  As drafted, NEPA “guidance” or “considerations” is identified as a topic in a number of places throughout the document.  The primary concern involves </w:t>
      </w:r>
      <w:r w:rsidR="00B455E7">
        <w:rPr>
          <w:rStyle w:val="Strong"/>
          <w:rFonts w:asciiTheme="minorHAnsi" w:hAnsiTheme="minorHAnsi" w:cstheme="minorHAnsi"/>
          <w:b w:val="0"/>
          <w:bCs w:val="0"/>
          <w:sz w:val="22"/>
          <w:szCs w:val="22"/>
        </w:rPr>
        <w:t>how to provide recommendations</w:t>
      </w:r>
      <w:r>
        <w:rPr>
          <w:rStyle w:val="Strong"/>
          <w:rFonts w:asciiTheme="minorHAnsi" w:hAnsiTheme="minorHAnsi" w:cstheme="minorHAnsi"/>
          <w:b w:val="0"/>
          <w:bCs w:val="0"/>
          <w:sz w:val="22"/>
          <w:szCs w:val="22"/>
        </w:rPr>
        <w:t xml:space="preserve"> in the Technical Guide for NEPA without establishing an agency “requirement” that could become an issue in objections, appeals, or litigation.</w:t>
      </w:r>
    </w:p>
    <w:p w14:paraId="71878433" w14:textId="77777777" w:rsidR="00926779" w:rsidRPr="00926779" w:rsidRDefault="00926779" w:rsidP="00926779">
      <w:pPr>
        <w:spacing w:before="200" w:after="200"/>
        <w:ind w:left="720"/>
        <w:rPr>
          <w:rStyle w:val="Strong"/>
          <w:rFonts w:asciiTheme="minorHAnsi" w:hAnsiTheme="minorHAnsi" w:cstheme="minorHAnsi"/>
          <w:b w:val="0"/>
          <w:bCs w:val="0"/>
          <w:sz w:val="22"/>
          <w:szCs w:val="22"/>
        </w:rPr>
      </w:pPr>
      <w:r w:rsidRPr="00926779">
        <w:rPr>
          <w:rStyle w:val="Strong"/>
          <w:rFonts w:asciiTheme="minorHAnsi" w:hAnsiTheme="minorHAnsi" w:cstheme="minorHAnsi"/>
          <w:b w:val="0"/>
          <w:bCs w:val="0"/>
          <w:sz w:val="22"/>
          <w:szCs w:val="22"/>
        </w:rPr>
        <w:t>Joe Gurrieri shared with the group that Regions 4 and 2 have provided review comments on two papers he has been working on regarding NEPA considerations for oil and gas and hardrock mineral exploration.  These papers are a direct result of field requests for information on how groundwater-related effects should be analyzed and considered for these types of projects.</w:t>
      </w:r>
    </w:p>
    <w:p w14:paraId="76E78A91" w14:textId="77777777" w:rsidR="007C6C16" w:rsidRPr="00926779" w:rsidRDefault="00926779" w:rsidP="00926779">
      <w:pPr>
        <w:spacing w:before="200" w:after="200"/>
        <w:ind w:left="720"/>
        <w:rPr>
          <w:rStyle w:val="Strong"/>
          <w:rFonts w:asciiTheme="minorHAnsi" w:hAnsiTheme="minorHAnsi" w:cstheme="minorHAnsi"/>
          <w:b w:val="0"/>
          <w:bCs w:val="0"/>
          <w:sz w:val="22"/>
          <w:szCs w:val="22"/>
          <w:u w:val="single"/>
        </w:rPr>
      </w:pPr>
      <w:r w:rsidRPr="00926779">
        <w:rPr>
          <w:rStyle w:val="Strong"/>
          <w:rFonts w:asciiTheme="minorHAnsi" w:hAnsiTheme="minorHAnsi" w:cstheme="minorHAnsi"/>
          <w:b w:val="0"/>
          <w:bCs w:val="0"/>
          <w:sz w:val="22"/>
          <w:szCs w:val="22"/>
        </w:rPr>
        <w:lastRenderedPageBreak/>
        <w:t>Tony agreed that this is a concern and offered to consult with Region 9 staff regarding different options that could be pursued.</w:t>
      </w:r>
      <w:r w:rsidR="00B455E7">
        <w:rPr>
          <w:rStyle w:val="Strong"/>
          <w:rFonts w:asciiTheme="minorHAnsi" w:hAnsiTheme="minorHAnsi" w:cstheme="minorHAnsi"/>
          <w:b w:val="0"/>
          <w:bCs w:val="0"/>
          <w:sz w:val="22"/>
          <w:szCs w:val="22"/>
        </w:rPr>
        <w:t xml:space="preserve">  Joe agreed to provide Tony with drafts of the papers he has been working on and offer comments on the drafts.</w:t>
      </w:r>
    </w:p>
    <w:p w14:paraId="2BBBC833" w14:textId="77777777" w:rsidR="007C6C16" w:rsidRPr="00B455E7" w:rsidRDefault="00B455E7" w:rsidP="00926779">
      <w:pPr>
        <w:pStyle w:val="ListParagraph"/>
        <w:numPr>
          <w:ilvl w:val="0"/>
          <w:numId w:val="38"/>
        </w:numPr>
        <w:spacing w:before="200" w:after="200"/>
        <w:rPr>
          <w:rStyle w:val="Strong"/>
          <w:rFonts w:asciiTheme="minorHAnsi" w:hAnsiTheme="minorHAnsi" w:cstheme="minorHAnsi"/>
          <w:b w:val="0"/>
          <w:bCs w:val="0"/>
          <w:sz w:val="22"/>
          <w:szCs w:val="22"/>
          <w:u w:val="single"/>
        </w:rPr>
      </w:pPr>
      <w:r>
        <w:rPr>
          <w:rStyle w:val="Strong"/>
          <w:rFonts w:asciiTheme="minorHAnsi" w:hAnsiTheme="minorHAnsi" w:cstheme="minorHAnsi"/>
          <w:b w:val="0"/>
          <w:bCs w:val="0"/>
          <w:sz w:val="22"/>
          <w:szCs w:val="22"/>
          <w:u w:val="single"/>
        </w:rPr>
        <w:t>Best Management Practices</w:t>
      </w:r>
      <w:r>
        <w:rPr>
          <w:rStyle w:val="Strong"/>
          <w:rFonts w:asciiTheme="minorHAnsi" w:hAnsiTheme="minorHAnsi" w:cstheme="minorHAnsi"/>
          <w:b w:val="0"/>
          <w:bCs w:val="0"/>
          <w:sz w:val="22"/>
          <w:szCs w:val="22"/>
        </w:rPr>
        <w:t xml:space="preserve"> – Steve Solem pointed out that BMPs were currently a separate subsection (1.2.3) in Section 1 and should probably be discussed in general in the “Application of Water Quality Regulations to Groundwater (1.2.4) because they are an extension of state water quality regulations.  Steve suggested a general discussion of BMPs in Section 1 and specific discussions of BMPs as they apply to different activities and projects in Section 3.</w:t>
      </w:r>
    </w:p>
    <w:p w14:paraId="5DFC192D" w14:textId="77777777" w:rsidR="00B455E7" w:rsidRPr="00B455E7" w:rsidRDefault="00B455E7" w:rsidP="00B455E7">
      <w:pPr>
        <w:spacing w:before="200" w:after="200"/>
        <w:ind w:left="720"/>
        <w:rPr>
          <w:rStyle w:val="Strong"/>
          <w:rFonts w:asciiTheme="minorHAnsi" w:hAnsiTheme="minorHAnsi" w:cstheme="minorHAnsi"/>
          <w:b w:val="0"/>
          <w:bCs w:val="0"/>
          <w:sz w:val="22"/>
          <w:szCs w:val="22"/>
        </w:rPr>
      </w:pPr>
      <w:r w:rsidRPr="00B455E7">
        <w:rPr>
          <w:rStyle w:val="Strong"/>
          <w:rFonts w:asciiTheme="minorHAnsi" w:hAnsiTheme="minorHAnsi" w:cstheme="minorHAnsi"/>
          <w:b w:val="0"/>
          <w:bCs w:val="0"/>
          <w:sz w:val="22"/>
          <w:szCs w:val="22"/>
        </w:rPr>
        <w:t xml:space="preserve">Steve asked Chris Savage and Liz Berger for their perspective on this approach and they agreed that it made sense.  Steve asked </w:t>
      </w:r>
      <w:r>
        <w:rPr>
          <w:rStyle w:val="Strong"/>
          <w:rFonts w:asciiTheme="minorHAnsi" w:hAnsiTheme="minorHAnsi" w:cstheme="minorHAnsi"/>
          <w:b w:val="0"/>
          <w:bCs w:val="0"/>
          <w:sz w:val="22"/>
          <w:szCs w:val="22"/>
        </w:rPr>
        <w:t>Chris and Liz</w:t>
      </w:r>
      <w:r w:rsidRPr="00B455E7">
        <w:rPr>
          <w:rStyle w:val="Strong"/>
          <w:rFonts w:asciiTheme="minorHAnsi" w:hAnsiTheme="minorHAnsi" w:cstheme="minorHAnsi"/>
          <w:b w:val="0"/>
          <w:bCs w:val="0"/>
          <w:sz w:val="22"/>
          <w:szCs w:val="22"/>
        </w:rPr>
        <w:t xml:space="preserve"> to think about how to deal with the “evolution”</w:t>
      </w:r>
      <w:r>
        <w:rPr>
          <w:rStyle w:val="Strong"/>
          <w:rFonts w:asciiTheme="minorHAnsi" w:hAnsiTheme="minorHAnsi" w:cstheme="minorHAnsi"/>
          <w:b w:val="0"/>
          <w:bCs w:val="0"/>
          <w:sz w:val="22"/>
          <w:szCs w:val="22"/>
        </w:rPr>
        <w:t xml:space="preserve"> of BMPs as a product of this</w:t>
      </w:r>
      <w:r w:rsidRPr="00B455E7">
        <w:rPr>
          <w:rStyle w:val="Strong"/>
          <w:rFonts w:asciiTheme="minorHAnsi" w:hAnsiTheme="minorHAnsi" w:cstheme="minorHAnsi"/>
          <w:b w:val="0"/>
          <w:bCs w:val="0"/>
          <w:sz w:val="22"/>
          <w:szCs w:val="22"/>
        </w:rPr>
        <w:t xml:space="preserve"> development effort </w:t>
      </w:r>
      <w:r>
        <w:rPr>
          <w:rStyle w:val="Strong"/>
          <w:rFonts w:asciiTheme="minorHAnsi" w:hAnsiTheme="minorHAnsi" w:cstheme="minorHAnsi"/>
          <w:b w:val="0"/>
          <w:bCs w:val="0"/>
          <w:sz w:val="22"/>
          <w:szCs w:val="22"/>
        </w:rPr>
        <w:t xml:space="preserve">so they </w:t>
      </w:r>
      <w:r w:rsidRPr="00B455E7">
        <w:rPr>
          <w:rStyle w:val="Strong"/>
          <w:rFonts w:asciiTheme="minorHAnsi" w:hAnsiTheme="minorHAnsi" w:cstheme="minorHAnsi"/>
          <w:b w:val="0"/>
          <w:bCs w:val="0"/>
          <w:sz w:val="22"/>
          <w:szCs w:val="22"/>
        </w:rPr>
        <w:t xml:space="preserve">could be integrated into the </w:t>
      </w:r>
      <w:r>
        <w:rPr>
          <w:rStyle w:val="Strong"/>
          <w:rFonts w:asciiTheme="minorHAnsi" w:hAnsiTheme="minorHAnsi" w:cstheme="minorHAnsi"/>
          <w:b w:val="0"/>
          <w:bCs w:val="0"/>
          <w:sz w:val="22"/>
          <w:szCs w:val="22"/>
        </w:rPr>
        <w:t xml:space="preserve">overall </w:t>
      </w:r>
      <w:r w:rsidRPr="00B455E7">
        <w:rPr>
          <w:rStyle w:val="Strong"/>
          <w:rFonts w:asciiTheme="minorHAnsi" w:hAnsiTheme="minorHAnsi" w:cstheme="minorHAnsi"/>
          <w:b w:val="0"/>
          <w:bCs w:val="0"/>
          <w:sz w:val="22"/>
          <w:szCs w:val="22"/>
        </w:rPr>
        <w:t>BMP process.</w:t>
      </w:r>
    </w:p>
    <w:p w14:paraId="2B5ECC95" w14:textId="77777777" w:rsidR="007C6C16" w:rsidRPr="00870121" w:rsidRDefault="007C6C16" w:rsidP="00870121">
      <w:pPr>
        <w:pStyle w:val="ListParagraph"/>
        <w:numPr>
          <w:ilvl w:val="0"/>
          <w:numId w:val="38"/>
        </w:numPr>
        <w:spacing w:before="200" w:after="200"/>
        <w:contextualSpacing w:val="0"/>
        <w:rPr>
          <w:rStyle w:val="Strong"/>
          <w:rFonts w:asciiTheme="minorHAnsi" w:hAnsiTheme="minorHAnsi" w:cstheme="minorHAnsi"/>
          <w:b w:val="0"/>
          <w:bCs w:val="0"/>
          <w:sz w:val="22"/>
          <w:szCs w:val="22"/>
          <w:u w:val="single"/>
        </w:rPr>
      </w:pPr>
      <w:r w:rsidRPr="00926779">
        <w:rPr>
          <w:rStyle w:val="Strong"/>
          <w:rFonts w:asciiTheme="minorHAnsi" w:hAnsiTheme="minorHAnsi" w:cstheme="minorHAnsi"/>
          <w:b w:val="0"/>
          <w:bCs w:val="0"/>
          <w:sz w:val="22"/>
          <w:szCs w:val="22"/>
          <w:u w:val="single"/>
        </w:rPr>
        <w:t>Infrastructure</w:t>
      </w:r>
      <w:r w:rsidR="00B455E7">
        <w:rPr>
          <w:rStyle w:val="Strong"/>
          <w:rFonts w:asciiTheme="minorHAnsi" w:hAnsiTheme="minorHAnsi" w:cstheme="minorHAnsi"/>
          <w:b w:val="0"/>
          <w:bCs w:val="0"/>
          <w:sz w:val="22"/>
          <w:szCs w:val="22"/>
        </w:rPr>
        <w:t xml:space="preserve"> – Linda Spencer pointed out that infrastructure related effects on groundwater and groundwater systems (e.g., roads affecting groundwater flow) should be added to the outline.  Linda suggested </w:t>
      </w:r>
      <w:r w:rsidR="00870121">
        <w:rPr>
          <w:rStyle w:val="Strong"/>
          <w:rFonts w:asciiTheme="minorHAnsi" w:hAnsiTheme="minorHAnsi" w:cstheme="minorHAnsi"/>
          <w:b w:val="0"/>
          <w:bCs w:val="0"/>
          <w:sz w:val="22"/>
          <w:szCs w:val="22"/>
        </w:rPr>
        <w:t xml:space="preserve">that </w:t>
      </w:r>
      <w:r w:rsidR="00B455E7">
        <w:rPr>
          <w:rStyle w:val="Strong"/>
          <w:rFonts w:asciiTheme="minorHAnsi" w:hAnsiTheme="minorHAnsi" w:cstheme="minorHAnsi"/>
          <w:b w:val="0"/>
          <w:bCs w:val="0"/>
          <w:sz w:val="22"/>
          <w:szCs w:val="22"/>
        </w:rPr>
        <w:t xml:space="preserve">there </w:t>
      </w:r>
      <w:r w:rsidR="00870121">
        <w:rPr>
          <w:rStyle w:val="Strong"/>
          <w:rFonts w:asciiTheme="minorHAnsi" w:hAnsiTheme="minorHAnsi" w:cstheme="minorHAnsi"/>
          <w:b w:val="0"/>
          <w:bCs w:val="0"/>
          <w:sz w:val="22"/>
          <w:szCs w:val="22"/>
        </w:rPr>
        <w:t>might</w:t>
      </w:r>
      <w:r w:rsidR="00B455E7">
        <w:rPr>
          <w:rStyle w:val="Strong"/>
          <w:rFonts w:asciiTheme="minorHAnsi" w:hAnsiTheme="minorHAnsi" w:cstheme="minorHAnsi"/>
          <w:b w:val="0"/>
          <w:bCs w:val="0"/>
          <w:sz w:val="22"/>
          <w:szCs w:val="22"/>
        </w:rPr>
        <w:t xml:space="preserve"> be other infrastructure related effects to groundwater and offered to provide more detailed comments </w:t>
      </w:r>
      <w:r w:rsidR="00870121">
        <w:rPr>
          <w:rStyle w:val="Strong"/>
          <w:rFonts w:asciiTheme="minorHAnsi" w:hAnsiTheme="minorHAnsi" w:cstheme="minorHAnsi"/>
          <w:b w:val="0"/>
          <w:bCs w:val="0"/>
          <w:sz w:val="22"/>
          <w:szCs w:val="22"/>
        </w:rPr>
        <w:t>for the group to consider.</w:t>
      </w:r>
    </w:p>
    <w:p w14:paraId="6EDB45EB" w14:textId="77777777" w:rsidR="007C6C16" w:rsidRPr="00926779" w:rsidRDefault="00870121" w:rsidP="00926779">
      <w:pPr>
        <w:pStyle w:val="ListParagraph"/>
        <w:numPr>
          <w:ilvl w:val="0"/>
          <w:numId w:val="38"/>
        </w:numPr>
        <w:spacing w:before="200" w:after="200"/>
        <w:rPr>
          <w:rStyle w:val="Strong"/>
          <w:rFonts w:asciiTheme="minorHAnsi" w:hAnsiTheme="minorHAnsi" w:cstheme="minorHAnsi"/>
          <w:b w:val="0"/>
          <w:bCs w:val="0"/>
          <w:sz w:val="22"/>
          <w:szCs w:val="22"/>
          <w:u w:val="single"/>
        </w:rPr>
      </w:pPr>
      <w:r>
        <w:rPr>
          <w:rStyle w:val="Strong"/>
          <w:rFonts w:asciiTheme="minorHAnsi" w:hAnsiTheme="minorHAnsi" w:cstheme="minorHAnsi"/>
          <w:b w:val="0"/>
          <w:bCs w:val="0"/>
          <w:sz w:val="22"/>
          <w:szCs w:val="22"/>
          <w:u w:val="single"/>
        </w:rPr>
        <w:t>Groundw</w:t>
      </w:r>
      <w:r w:rsidR="007C6C16" w:rsidRPr="00926779">
        <w:rPr>
          <w:rStyle w:val="Strong"/>
          <w:rFonts w:asciiTheme="minorHAnsi" w:hAnsiTheme="minorHAnsi" w:cstheme="minorHAnsi"/>
          <w:b w:val="0"/>
          <w:bCs w:val="0"/>
          <w:sz w:val="22"/>
          <w:szCs w:val="22"/>
          <w:u w:val="single"/>
        </w:rPr>
        <w:t>ater Quality</w:t>
      </w:r>
      <w:r>
        <w:rPr>
          <w:rStyle w:val="Strong"/>
          <w:rFonts w:asciiTheme="minorHAnsi" w:hAnsiTheme="minorHAnsi" w:cstheme="minorHAnsi"/>
          <w:b w:val="0"/>
          <w:bCs w:val="0"/>
          <w:sz w:val="22"/>
          <w:szCs w:val="22"/>
        </w:rPr>
        <w:t xml:space="preserve"> – Linda Spencer also mentioned that effects to groundwater quantity were discussed, but not effects to groundwater quality.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2"/>
        <w:gridCol w:w="8304"/>
      </w:tblGrid>
      <w:tr w:rsidR="00783DBD" w:rsidRPr="00EF26B6" w14:paraId="7133EC1C" w14:textId="77777777" w:rsidTr="00783DBD">
        <w:tc>
          <w:tcPr>
            <w:tcW w:w="1092" w:type="dxa"/>
            <w:shd w:val="clear" w:color="auto" w:fill="C6D9F1" w:themeFill="text2" w:themeFillTint="33"/>
          </w:tcPr>
          <w:p w14:paraId="6D1647BF" w14:textId="77777777" w:rsidR="00783DBD" w:rsidRPr="00EF26B6" w:rsidRDefault="00783DBD" w:rsidP="00783DBD">
            <w:pPr>
              <w:rPr>
                <w:rStyle w:val="Strong"/>
                <w:rFonts w:asciiTheme="minorHAnsi" w:hAnsiTheme="minorHAnsi" w:cs="Arial"/>
                <w:sz w:val="22"/>
                <w:szCs w:val="22"/>
              </w:rPr>
            </w:pPr>
            <w:r w:rsidRPr="00EF26B6">
              <w:rPr>
                <w:rStyle w:val="Strong"/>
                <w:rFonts w:asciiTheme="minorHAnsi" w:hAnsiTheme="minorHAnsi" w:cs="Arial"/>
                <w:sz w:val="22"/>
                <w:szCs w:val="22"/>
              </w:rPr>
              <w:t>Action</w:t>
            </w:r>
            <w:r>
              <w:rPr>
                <w:rStyle w:val="Strong"/>
                <w:rFonts w:asciiTheme="minorHAnsi" w:hAnsiTheme="minorHAnsi" w:cs="Arial"/>
                <w:sz w:val="22"/>
                <w:szCs w:val="22"/>
              </w:rPr>
              <w:t>s</w:t>
            </w:r>
            <w:r w:rsidRPr="00EF26B6">
              <w:rPr>
                <w:rStyle w:val="Strong"/>
                <w:rFonts w:asciiTheme="minorHAnsi" w:hAnsiTheme="minorHAnsi" w:cs="Arial"/>
                <w:sz w:val="22"/>
                <w:szCs w:val="22"/>
              </w:rPr>
              <w:t xml:space="preserve">:  </w:t>
            </w:r>
          </w:p>
        </w:tc>
        <w:tc>
          <w:tcPr>
            <w:tcW w:w="8304" w:type="dxa"/>
            <w:shd w:val="clear" w:color="auto" w:fill="C6D9F1" w:themeFill="text2" w:themeFillTint="33"/>
          </w:tcPr>
          <w:p w14:paraId="0ACB6280" w14:textId="77777777" w:rsidR="00783DBD" w:rsidRDefault="00783DBD" w:rsidP="00783DBD">
            <w:pPr>
              <w:pStyle w:val="ListParagraph"/>
              <w:numPr>
                <w:ilvl w:val="0"/>
                <w:numId w:val="35"/>
              </w:numPr>
              <w:shd w:val="clear" w:color="auto" w:fill="C6D9F1" w:themeFill="text2" w:themeFillTint="33"/>
              <w:spacing w:after="120"/>
              <w:ind w:left="159" w:hanging="202"/>
              <w:rPr>
                <w:rFonts w:asciiTheme="minorHAnsi" w:hAnsiTheme="minorHAnsi" w:cstheme="minorHAnsi"/>
                <w:sz w:val="22"/>
                <w:szCs w:val="22"/>
              </w:rPr>
            </w:pPr>
            <w:r>
              <w:rPr>
                <w:rFonts w:asciiTheme="minorHAnsi" w:hAnsiTheme="minorHAnsi" w:cstheme="minorHAnsi"/>
                <w:sz w:val="22"/>
                <w:szCs w:val="22"/>
              </w:rPr>
              <w:t>Steering Team members should provide feedback to Joe Gurrieri on the revi</w:t>
            </w:r>
            <w:r w:rsidR="007C6C16">
              <w:rPr>
                <w:rFonts w:asciiTheme="minorHAnsi" w:hAnsiTheme="minorHAnsi" w:cstheme="minorHAnsi"/>
                <w:sz w:val="22"/>
                <w:szCs w:val="22"/>
              </w:rPr>
              <w:t>sion scope outline by February 7</w:t>
            </w:r>
            <w:r>
              <w:rPr>
                <w:rFonts w:asciiTheme="minorHAnsi" w:hAnsiTheme="minorHAnsi" w:cstheme="minorHAnsi"/>
                <w:sz w:val="22"/>
                <w:szCs w:val="22"/>
              </w:rPr>
              <w:t>.</w:t>
            </w:r>
          </w:p>
          <w:p w14:paraId="378E8292" w14:textId="77777777" w:rsidR="00783DBD" w:rsidRPr="00FF5C16" w:rsidRDefault="007C6C16" w:rsidP="007C6C16">
            <w:pPr>
              <w:pStyle w:val="ListParagraph"/>
              <w:numPr>
                <w:ilvl w:val="0"/>
                <w:numId w:val="35"/>
              </w:numPr>
              <w:shd w:val="clear" w:color="auto" w:fill="C6D9F1" w:themeFill="text2" w:themeFillTint="33"/>
              <w:spacing w:after="120"/>
              <w:ind w:left="159" w:hanging="202"/>
              <w:rPr>
                <w:rStyle w:val="Strong"/>
                <w:rFonts w:asciiTheme="minorHAnsi" w:hAnsiTheme="minorHAnsi" w:cstheme="minorHAnsi"/>
                <w:b w:val="0"/>
                <w:bCs w:val="0"/>
                <w:sz w:val="22"/>
                <w:szCs w:val="22"/>
              </w:rPr>
            </w:pPr>
            <w:r>
              <w:rPr>
                <w:rFonts w:asciiTheme="minorHAnsi" w:hAnsiTheme="minorHAnsi" w:cstheme="minorHAnsi"/>
                <w:sz w:val="22"/>
                <w:szCs w:val="22"/>
              </w:rPr>
              <w:t>Steering</w:t>
            </w:r>
            <w:r w:rsidR="00783DBD" w:rsidRPr="00580DE1">
              <w:rPr>
                <w:rFonts w:asciiTheme="minorHAnsi" w:hAnsiTheme="minorHAnsi" w:cstheme="minorHAnsi"/>
                <w:sz w:val="22"/>
                <w:szCs w:val="22"/>
              </w:rPr>
              <w:t xml:space="preserve"> Team members </w:t>
            </w:r>
            <w:r w:rsidR="00783DBD">
              <w:rPr>
                <w:rFonts w:asciiTheme="minorHAnsi" w:hAnsiTheme="minorHAnsi" w:cstheme="minorHAnsi"/>
                <w:sz w:val="22"/>
                <w:szCs w:val="22"/>
              </w:rPr>
              <w:t>are asked to</w:t>
            </w:r>
            <w:r w:rsidR="00783DBD" w:rsidRPr="00580DE1">
              <w:rPr>
                <w:rFonts w:asciiTheme="minorHAnsi" w:hAnsiTheme="minorHAnsi" w:cstheme="minorHAnsi"/>
                <w:sz w:val="22"/>
                <w:szCs w:val="22"/>
              </w:rPr>
              <w:t xml:space="preserve"> send </w:t>
            </w:r>
            <w:r w:rsidR="00783DBD" w:rsidRPr="00672E21">
              <w:rPr>
                <w:rFonts w:asciiTheme="minorHAnsi" w:hAnsiTheme="minorHAnsi" w:cstheme="minorHAnsi"/>
                <w:sz w:val="22"/>
                <w:szCs w:val="22"/>
              </w:rPr>
              <w:t xml:space="preserve">Joe Gurrieri </w:t>
            </w:r>
            <w:r w:rsidR="00783DBD" w:rsidRPr="00580DE1">
              <w:rPr>
                <w:rFonts w:asciiTheme="minorHAnsi" w:hAnsiTheme="minorHAnsi" w:cstheme="minorHAnsi"/>
                <w:sz w:val="22"/>
                <w:szCs w:val="22"/>
              </w:rPr>
              <w:t xml:space="preserve">suggestions for potential membership </w:t>
            </w:r>
            <w:r w:rsidR="00783DBD">
              <w:rPr>
                <w:rFonts w:asciiTheme="minorHAnsi" w:hAnsiTheme="minorHAnsi" w:cstheme="minorHAnsi"/>
                <w:sz w:val="22"/>
                <w:szCs w:val="22"/>
              </w:rPr>
              <w:t>to the C</w:t>
            </w:r>
            <w:r>
              <w:rPr>
                <w:rFonts w:asciiTheme="minorHAnsi" w:hAnsiTheme="minorHAnsi" w:cstheme="minorHAnsi"/>
                <w:sz w:val="22"/>
                <w:szCs w:val="22"/>
              </w:rPr>
              <w:t>ore or Steering Teams</w:t>
            </w:r>
            <w:r w:rsidR="00783DBD">
              <w:rPr>
                <w:rFonts w:asciiTheme="minorHAnsi" w:hAnsiTheme="minorHAnsi" w:cstheme="minorHAnsi"/>
                <w:sz w:val="22"/>
                <w:szCs w:val="22"/>
              </w:rPr>
              <w:t xml:space="preserve"> </w:t>
            </w:r>
            <w:r w:rsidR="00783DBD" w:rsidRPr="00580DE1">
              <w:rPr>
                <w:rFonts w:asciiTheme="minorHAnsi" w:hAnsiTheme="minorHAnsi" w:cstheme="minorHAnsi"/>
                <w:sz w:val="22"/>
                <w:szCs w:val="22"/>
              </w:rPr>
              <w:t>for the revision effort</w:t>
            </w:r>
            <w:r>
              <w:rPr>
                <w:rFonts w:asciiTheme="minorHAnsi" w:hAnsiTheme="minorHAnsi" w:cstheme="minorHAnsi"/>
                <w:sz w:val="22"/>
                <w:szCs w:val="22"/>
              </w:rPr>
              <w:t xml:space="preserve"> and potential W</w:t>
            </w:r>
            <w:r w:rsidR="00783DBD">
              <w:rPr>
                <w:rFonts w:asciiTheme="minorHAnsi" w:hAnsiTheme="minorHAnsi" w:cstheme="minorHAnsi"/>
                <w:sz w:val="22"/>
                <w:szCs w:val="22"/>
              </w:rPr>
              <w:t>ork</w:t>
            </w:r>
            <w:r>
              <w:rPr>
                <w:rFonts w:asciiTheme="minorHAnsi" w:hAnsiTheme="minorHAnsi" w:cstheme="minorHAnsi"/>
                <w:sz w:val="22"/>
                <w:szCs w:val="22"/>
              </w:rPr>
              <w:t>ing</w:t>
            </w:r>
            <w:r w:rsidR="00783DBD">
              <w:rPr>
                <w:rFonts w:asciiTheme="minorHAnsi" w:hAnsiTheme="minorHAnsi" w:cstheme="minorHAnsi"/>
                <w:sz w:val="22"/>
                <w:szCs w:val="22"/>
              </w:rPr>
              <w:t xml:space="preserve"> </w:t>
            </w:r>
            <w:r>
              <w:rPr>
                <w:rFonts w:asciiTheme="minorHAnsi" w:hAnsiTheme="minorHAnsi" w:cstheme="minorHAnsi"/>
                <w:sz w:val="22"/>
                <w:szCs w:val="22"/>
              </w:rPr>
              <w:t>groups by February 28</w:t>
            </w:r>
            <w:r w:rsidR="00783DBD" w:rsidRPr="00580DE1">
              <w:rPr>
                <w:rFonts w:asciiTheme="minorHAnsi" w:hAnsiTheme="minorHAnsi" w:cstheme="minorHAnsi"/>
                <w:sz w:val="22"/>
                <w:szCs w:val="22"/>
              </w:rPr>
              <w:t>.</w:t>
            </w:r>
            <w:r w:rsidR="00783DBD">
              <w:rPr>
                <w:rFonts w:asciiTheme="minorHAnsi" w:hAnsiTheme="minorHAnsi" w:cstheme="minorHAnsi"/>
                <w:sz w:val="22"/>
                <w:szCs w:val="22"/>
              </w:rPr>
              <w:t xml:space="preserve"> </w:t>
            </w:r>
          </w:p>
        </w:tc>
      </w:tr>
    </w:tbl>
    <w:p w14:paraId="6FF5DC8A" w14:textId="77777777" w:rsidR="00783DBD" w:rsidRPr="003D7B9A" w:rsidRDefault="00783DBD" w:rsidP="00461F4D">
      <w:pPr>
        <w:pStyle w:val="Heading1"/>
        <w:numPr>
          <w:ilvl w:val="0"/>
          <w:numId w:val="34"/>
        </w:numPr>
      </w:pPr>
      <w:r>
        <w:t>Wrap Up</w:t>
      </w:r>
    </w:p>
    <w:p w14:paraId="461A8967" w14:textId="77777777" w:rsidR="00BC4C7C" w:rsidRDefault="00783DBD" w:rsidP="00926779">
      <w:pPr>
        <w:rPr>
          <w:rFonts w:asciiTheme="minorHAnsi" w:hAnsiTheme="minorHAnsi" w:cs="Arial"/>
          <w:sz w:val="22"/>
          <w:szCs w:val="22"/>
        </w:rPr>
      </w:pPr>
      <w:r w:rsidRPr="00DA36AB">
        <w:rPr>
          <w:rFonts w:asciiTheme="minorHAnsi" w:hAnsiTheme="minorHAnsi" w:cs="Arial"/>
          <w:sz w:val="22"/>
          <w:szCs w:val="22"/>
        </w:rPr>
        <w:t xml:space="preserve">Joe Gurrieri thanked </w:t>
      </w:r>
      <w:r w:rsidR="00926779">
        <w:rPr>
          <w:rFonts w:asciiTheme="minorHAnsi" w:hAnsiTheme="minorHAnsi" w:cs="Arial"/>
          <w:sz w:val="22"/>
          <w:szCs w:val="22"/>
        </w:rPr>
        <w:t>Steering</w:t>
      </w:r>
      <w:r w:rsidRPr="00DA36AB">
        <w:rPr>
          <w:rFonts w:asciiTheme="minorHAnsi" w:hAnsiTheme="minorHAnsi" w:cs="Arial"/>
          <w:sz w:val="22"/>
          <w:szCs w:val="22"/>
        </w:rPr>
        <w:t xml:space="preserve"> Team members for their </w:t>
      </w:r>
      <w:r>
        <w:rPr>
          <w:rFonts w:asciiTheme="minorHAnsi" w:hAnsiTheme="minorHAnsi" w:cs="Arial"/>
          <w:sz w:val="22"/>
          <w:szCs w:val="22"/>
        </w:rPr>
        <w:t xml:space="preserve">continued </w:t>
      </w:r>
      <w:r w:rsidRPr="00DA36AB">
        <w:rPr>
          <w:rFonts w:asciiTheme="minorHAnsi" w:hAnsiTheme="minorHAnsi" w:cs="Arial"/>
          <w:sz w:val="22"/>
          <w:szCs w:val="22"/>
        </w:rPr>
        <w:t xml:space="preserve">participation </w:t>
      </w:r>
      <w:r w:rsidR="00926779">
        <w:rPr>
          <w:rFonts w:asciiTheme="minorHAnsi" w:hAnsiTheme="minorHAnsi" w:cs="Arial"/>
          <w:sz w:val="22"/>
          <w:szCs w:val="22"/>
        </w:rPr>
        <w:t xml:space="preserve">and interest </w:t>
      </w:r>
      <w:r w:rsidRPr="00DA36AB">
        <w:rPr>
          <w:rFonts w:asciiTheme="minorHAnsi" w:hAnsiTheme="minorHAnsi" w:cs="Arial"/>
          <w:sz w:val="22"/>
          <w:szCs w:val="22"/>
        </w:rPr>
        <w:t>as th</w:t>
      </w:r>
      <w:r>
        <w:rPr>
          <w:rFonts w:asciiTheme="minorHAnsi" w:hAnsiTheme="minorHAnsi" w:cs="Arial"/>
          <w:sz w:val="22"/>
          <w:szCs w:val="22"/>
        </w:rPr>
        <w:t xml:space="preserve">e team moves into </w:t>
      </w:r>
      <w:r w:rsidR="00926779">
        <w:rPr>
          <w:rFonts w:asciiTheme="minorHAnsi" w:hAnsiTheme="minorHAnsi" w:cs="Arial"/>
          <w:sz w:val="22"/>
          <w:szCs w:val="22"/>
        </w:rPr>
        <w:t>the final phases of completing the Groundwater IM&amp;A Technical Guide and begins the revision effort.</w:t>
      </w:r>
    </w:p>
    <w:p w14:paraId="03160438" w14:textId="77777777" w:rsidR="00BC4C7C" w:rsidRDefault="00BC4C7C">
      <w:pPr>
        <w:rPr>
          <w:rFonts w:asciiTheme="minorHAnsi" w:hAnsiTheme="minorHAnsi" w:cs="Arial"/>
          <w:sz w:val="22"/>
          <w:szCs w:val="22"/>
        </w:rPr>
      </w:pPr>
      <w:r>
        <w:rPr>
          <w:rFonts w:asciiTheme="minorHAnsi" w:hAnsiTheme="minorHAnsi" w:cs="Arial"/>
          <w:sz w:val="22"/>
          <w:szCs w:val="22"/>
        </w:rPr>
        <w:br w:type="page"/>
      </w:r>
    </w:p>
    <w:p w14:paraId="7EAC9CF9" w14:textId="77777777" w:rsidR="00461F4D" w:rsidRPr="00461F4D" w:rsidRDefault="00461F4D" w:rsidP="00461F4D">
      <w:pPr>
        <w:shd w:val="clear" w:color="auto" w:fill="FFFFFF" w:themeFill="background1"/>
        <w:rPr>
          <w:rStyle w:val="Hyperlink"/>
          <w:rFonts w:asciiTheme="minorHAnsi" w:hAnsiTheme="minorHAnsi"/>
          <w:b/>
          <w:color w:val="auto"/>
          <w:sz w:val="28"/>
          <w:u w:val="none"/>
        </w:rPr>
      </w:pPr>
      <w:r w:rsidRPr="00461F4D">
        <w:rPr>
          <w:rStyle w:val="Hyperlink"/>
          <w:rFonts w:asciiTheme="minorHAnsi" w:hAnsiTheme="minorHAnsi"/>
          <w:b/>
          <w:color w:val="auto"/>
          <w:sz w:val="28"/>
          <w:u w:val="none"/>
        </w:rPr>
        <w:lastRenderedPageBreak/>
        <w:t>Technical Guide for Managing Groundwater Resources</w:t>
      </w:r>
    </w:p>
    <w:p w14:paraId="3F0F0B59" w14:textId="77777777" w:rsidR="00461F4D" w:rsidRPr="00461F4D" w:rsidRDefault="00461F4D" w:rsidP="00461F4D">
      <w:pPr>
        <w:pBdr>
          <w:bottom w:val="single" w:sz="4" w:space="1" w:color="auto"/>
        </w:pBdr>
        <w:rPr>
          <w:rStyle w:val="Hyperlink"/>
          <w:color w:val="auto"/>
          <w:u w:val="none"/>
        </w:rPr>
      </w:pPr>
      <w:r w:rsidRPr="00461F4D">
        <w:rPr>
          <w:rStyle w:val="Hyperlink"/>
          <w:rFonts w:asciiTheme="minorHAnsi" w:hAnsiTheme="minorHAnsi"/>
          <w:color w:val="auto"/>
          <w:u w:val="none"/>
        </w:rPr>
        <w:t>Preliminary Outline</w:t>
      </w:r>
    </w:p>
    <w:p w14:paraId="3F332EB9" w14:textId="77777777" w:rsidR="00461F4D" w:rsidRPr="00461F4D" w:rsidRDefault="00461F4D" w:rsidP="00461F4D">
      <w:pPr>
        <w:pStyle w:val="Heading1"/>
        <w:rPr>
          <w:rStyle w:val="Hyperlink"/>
          <w:color w:val="auto"/>
        </w:rPr>
      </w:pPr>
      <w:r w:rsidRPr="00461F4D">
        <w:rPr>
          <w:rStyle w:val="Hyperlink"/>
          <w:color w:val="auto"/>
        </w:rPr>
        <w:t>FRAMEWORK FOR MANAGING GROUNDWATER RESOURCES</w:t>
      </w:r>
    </w:p>
    <w:p w14:paraId="29943D6F" w14:textId="77777777" w:rsidR="00461F4D" w:rsidRPr="00461F4D" w:rsidRDefault="00461F4D" w:rsidP="00246272">
      <w:pPr>
        <w:shd w:val="clear" w:color="auto" w:fill="FDE9D9" w:themeFill="accent6" w:themeFillTint="33"/>
        <w:rPr>
          <w:rFonts w:asciiTheme="majorHAnsi" w:hAnsiTheme="majorHAnsi"/>
          <w:sz w:val="22"/>
        </w:rPr>
      </w:pPr>
      <w:r w:rsidRPr="00461F4D">
        <w:rPr>
          <w:rFonts w:asciiTheme="majorHAnsi" w:hAnsiTheme="majorHAnsi"/>
          <w:sz w:val="22"/>
        </w:rPr>
        <w:t>This section provides an overview of the framework for managing GW on NFS lands and the various roles of the players involved.</w:t>
      </w:r>
    </w:p>
    <w:p w14:paraId="37059714" w14:textId="77777777" w:rsidR="00461F4D" w:rsidRPr="00461F4D" w:rsidRDefault="00461F4D" w:rsidP="00461F4D">
      <w:pPr>
        <w:pStyle w:val="Heading2"/>
        <w:spacing w:before="120"/>
      </w:pPr>
      <w:r w:rsidRPr="00461F4D">
        <w:t>Overview and Purpose</w:t>
      </w:r>
    </w:p>
    <w:p w14:paraId="6C81A63E" w14:textId="77777777" w:rsidR="00461F4D" w:rsidRPr="00461F4D" w:rsidRDefault="00461F4D" w:rsidP="00461F4D">
      <w:pPr>
        <w:pStyle w:val="Heading3"/>
      </w:pPr>
      <w:r w:rsidRPr="00461F4D">
        <w:t>Importance of Groundwater Resources on NFS Lands</w:t>
      </w:r>
    </w:p>
    <w:p w14:paraId="44D37968" w14:textId="77777777" w:rsidR="00461F4D" w:rsidRPr="00461F4D" w:rsidRDefault="00461F4D" w:rsidP="00461F4D">
      <w:pPr>
        <w:pStyle w:val="Heading3"/>
      </w:pPr>
      <w:r w:rsidRPr="00461F4D">
        <w:t>Scope and Organization</w:t>
      </w:r>
    </w:p>
    <w:p w14:paraId="7FE55F5F" w14:textId="77777777" w:rsidR="00461F4D" w:rsidRPr="00461F4D" w:rsidRDefault="00461F4D" w:rsidP="00461F4D">
      <w:pPr>
        <w:pStyle w:val="Heading2"/>
      </w:pPr>
      <w:r w:rsidRPr="00461F4D">
        <w:t>Statutory and Policy Framework</w:t>
      </w:r>
    </w:p>
    <w:p w14:paraId="1D88C27D" w14:textId="77777777" w:rsidR="00461F4D" w:rsidRPr="00461F4D" w:rsidRDefault="00461F4D" w:rsidP="00461F4D">
      <w:pPr>
        <w:pStyle w:val="Heading3"/>
      </w:pPr>
      <w:r w:rsidRPr="00461F4D">
        <w:t>Federal and State Law</w:t>
      </w:r>
    </w:p>
    <w:p w14:paraId="2299FC5F" w14:textId="77777777" w:rsidR="00461F4D" w:rsidRPr="00461F4D" w:rsidRDefault="00461F4D" w:rsidP="00461F4D">
      <w:pPr>
        <w:pStyle w:val="Heading3"/>
      </w:pPr>
      <w:r w:rsidRPr="00461F4D">
        <w:t>Overview of the National Groundwater Policy</w:t>
      </w:r>
    </w:p>
    <w:p w14:paraId="08737C84" w14:textId="77777777" w:rsidR="00461F4D" w:rsidRPr="00461F4D" w:rsidRDefault="00461F4D" w:rsidP="00461F4D">
      <w:pPr>
        <w:pStyle w:val="Heading3"/>
      </w:pPr>
      <w:r w:rsidRPr="00461F4D">
        <w:t>Best Management Practices – May want to combine with 1.2.4</w:t>
      </w:r>
    </w:p>
    <w:p w14:paraId="517C89AD" w14:textId="77777777" w:rsidR="00461F4D" w:rsidRPr="00461F4D" w:rsidRDefault="00461F4D" w:rsidP="00461F4D">
      <w:pPr>
        <w:pStyle w:val="Heading3"/>
      </w:pPr>
      <w:r w:rsidRPr="00461F4D">
        <w:t>Application of Water Quality Regulations to Groundwater</w:t>
      </w:r>
    </w:p>
    <w:p w14:paraId="31BA94C1" w14:textId="77777777" w:rsidR="00461F4D" w:rsidRPr="00461F4D" w:rsidRDefault="00461F4D" w:rsidP="00461F4D">
      <w:pPr>
        <w:pStyle w:val="Heading4"/>
      </w:pPr>
      <w:r w:rsidRPr="00461F4D">
        <w:t>Groundwater Standards &amp; Classification</w:t>
      </w:r>
    </w:p>
    <w:p w14:paraId="5DE980F6" w14:textId="77777777" w:rsidR="00461F4D" w:rsidRPr="00461F4D" w:rsidRDefault="00461F4D" w:rsidP="00461F4D">
      <w:pPr>
        <w:pStyle w:val="Heading4"/>
      </w:pPr>
      <w:r w:rsidRPr="00461F4D">
        <w:t>Groundwater Discharge Permits</w:t>
      </w:r>
    </w:p>
    <w:p w14:paraId="620536D4" w14:textId="77777777" w:rsidR="00461F4D" w:rsidRPr="00461F4D" w:rsidRDefault="00461F4D" w:rsidP="00461F4D">
      <w:pPr>
        <w:pStyle w:val="Heading4"/>
      </w:pPr>
      <w:r w:rsidRPr="00461F4D">
        <w:t>Drinking water regulations (GW course)</w:t>
      </w:r>
    </w:p>
    <w:p w14:paraId="7D155E92" w14:textId="77777777" w:rsidR="00461F4D" w:rsidRPr="00461F4D" w:rsidRDefault="00461F4D" w:rsidP="00461F4D">
      <w:pPr>
        <w:pStyle w:val="Heading2"/>
      </w:pPr>
      <w:r w:rsidRPr="00461F4D">
        <w:t>Roles and Responsibilities</w:t>
      </w:r>
    </w:p>
    <w:p w14:paraId="37D9F509" w14:textId="77777777" w:rsidR="00461F4D" w:rsidRPr="00461F4D" w:rsidRDefault="00461F4D" w:rsidP="00461F4D">
      <w:pPr>
        <w:pStyle w:val="Heading3"/>
      </w:pPr>
      <w:r w:rsidRPr="00461F4D">
        <w:t>National</w:t>
      </w:r>
    </w:p>
    <w:p w14:paraId="3F9A269F" w14:textId="77777777" w:rsidR="00461F4D" w:rsidRPr="00461F4D" w:rsidRDefault="00461F4D" w:rsidP="00461F4D">
      <w:pPr>
        <w:pStyle w:val="Heading3"/>
      </w:pPr>
      <w:r w:rsidRPr="00461F4D">
        <w:t>Regions, Area, and Stations</w:t>
      </w:r>
    </w:p>
    <w:p w14:paraId="17C87F20" w14:textId="77777777" w:rsidR="00461F4D" w:rsidRPr="00461F4D" w:rsidRDefault="00461F4D" w:rsidP="00461F4D">
      <w:pPr>
        <w:pStyle w:val="Heading3"/>
      </w:pPr>
      <w:r w:rsidRPr="00461F4D">
        <w:t>National Forests and Grasslands</w:t>
      </w:r>
    </w:p>
    <w:p w14:paraId="01C1AE8B" w14:textId="77777777" w:rsidR="00461F4D" w:rsidRPr="00461F4D" w:rsidRDefault="00461F4D" w:rsidP="00461F4D">
      <w:pPr>
        <w:pStyle w:val="Heading2"/>
      </w:pPr>
      <w:r w:rsidRPr="00461F4D">
        <w:t>Groundwater Program Management</w:t>
      </w:r>
    </w:p>
    <w:p w14:paraId="7E51BBA5" w14:textId="77777777" w:rsidR="00461F4D" w:rsidRPr="00461F4D" w:rsidRDefault="00461F4D" w:rsidP="00461F4D">
      <w:pPr>
        <w:pStyle w:val="Heading3"/>
      </w:pPr>
      <w:r w:rsidRPr="00461F4D">
        <w:t>Staffing and Resource Needs – Expertise, Training</w:t>
      </w:r>
    </w:p>
    <w:p w14:paraId="2098AF24" w14:textId="77777777" w:rsidR="00461F4D" w:rsidRPr="00461F4D" w:rsidRDefault="00461F4D" w:rsidP="00461F4D">
      <w:pPr>
        <w:pStyle w:val="Heading3"/>
      </w:pPr>
      <w:r w:rsidRPr="00461F4D">
        <w:t>Technical Support</w:t>
      </w:r>
    </w:p>
    <w:p w14:paraId="1C83CEC6" w14:textId="77777777" w:rsidR="00461F4D" w:rsidRPr="00461F4D" w:rsidRDefault="00461F4D" w:rsidP="00461F4D">
      <w:pPr>
        <w:pStyle w:val="Heading4"/>
      </w:pPr>
      <w:r w:rsidRPr="00461F4D">
        <w:t>National Minerals Operation Center</w:t>
      </w:r>
    </w:p>
    <w:p w14:paraId="07A03B7A" w14:textId="77777777" w:rsidR="00461F4D" w:rsidRPr="00461F4D" w:rsidRDefault="00461F4D" w:rsidP="00461F4D">
      <w:pPr>
        <w:pStyle w:val="Heading4"/>
      </w:pPr>
      <w:r w:rsidRPr="00461F4D">
        <w:t>Hardware/Software</w:t>
      </w:r>
    </w:p>
    <w:p w14:paraId="29167DFB" w14:textId="77777777" w:rsidR="00461F4D" w:rsidRPr="00461F4D" w:rsidRDefault="00461F4D" w:rsidP="00461F4D">
      <w:pPr>
        <w:pStyle w:val="Heading4"/>
      </w:pPr>
      <w:r w:rsidRPr="00461F4D">
        <w:t>Field and Laboratory Requirements</w:t>
      </w:r>
    </w:p>
    <w:p w14:paraId="5EEBC4AC" w14:textId="77777777" w:rsidR="00461F4D" w:rsidRPr="00461F4D" w:rsidRDefault="00461F4D" w:rsidP="00461F4D">
      <w:pPr>
        <w:pStyle w:val="Heading2"/>
      </w:pPr>
      <w:r w:rsidRPr="00461F4D">
        <w:t>Data Management</w:t>
      </w:r>
    </w:p>
    <w:p w14:paraId="15E4E70F" w14:textId="77777777" w:rsidR="00461F4D" w:rsidRPr="00461F4D" w:rsidRDefault="00461F4D" w:rsidP="00461F4D">
      <w:pPr>
        <w:pStyle w:val="Heading3"/>
      </w:pPr>
      <w:r w:rsidRPr="00461F4D">
        <w:t>Data Stewardship</w:t>
      </w:r>
    </w:p>
    <w:p w14:paraId="0980E57F" w14:textId="77777777" w:rsidR="00461F4D" w:rsidRPr="00461F4D" w:rsidRDefault="00461F4D" w:rsidP="00461F4D">
      <w:pPr>
        <w:pStyle w:val="Heading3"/>
      </w:pPr>
      <w:r w:rsidRPr="00461F4D">
        <w:t>Quality Assurance and Quality Controls</w:t>
      </w:r>
    </w:p>
    <w:p w14:paraId="30F0F1B5" w14:textId="77777777" w:rsidR="00461F4D" w:rsidRPr="00461F4D" w:rsidRDefault="00461F4D" w:rsidP="00461F4D">
      <w:pPr>
        <w:pStyle w:val="Heading3"/>
      </w:pPr>
      <w:r w:rsidRPr="00461F4D">
        <w:t>Corporate Data Storage - Water Quality Data Bases</w:t>
      </w:r>
    </w:p>
    <w:p w14:paraId="26758BEA" w14:textId="77777777" w:rsidR="00461F4D" w:rsidRPr="00461F4D" w:rsidRDefault="00461F4D" w:rsidP="00461F4D">
      <w:pPr>
        <w:pStyle w:val="Heading3"/>
      </w:pPr>
      <w:r w:rsidRPr="00461F4D">
        <w:t>Metadata Requirements</w:t>
      </w:r>
    </w:p>
    <w:p w14:paraId="06855DB6" w14:textId="77777777" w:rsidR="00461F4D" w:rsidRPr="00461F4D" w:rsidRDefault="00461F4D" w:rsidP="00461F4D">
      <w:pPr>
        <w:pStyle w:val="Heading3"/>
      </w:pPr>
      <w:r w:rsidRPr="00461F4D">
        <w:t>Data Quality and Continuity</w:t>
      </w:r>
    </w:p>
    <w:p w14:paraId="4568D074" w14:textId="77777777" w:rsidR="00461F4D" w:rsidRPr="00461F4D" w:rsidRDefault="00461F4D" w:rsidP="00461F4D">
      <w:pPr>
        <w:pStyle w:val="Heading2"/>
      </w:pPr>
      <w:r w:rsidRPr="00461F4D">
        <w:t>Change Management</w:t>
      </w:r>
    </w:p>
    <w:p w14:paraId="6111DAF7" w14:textId="77777777" w:rsidR="00461F4D" w:rsidRPr="00461F4D" w:rsidRDefault="00461F4D" w:rsidP="00461F4D">
      <w:pPr>
        <w:pStyle w:val="Heading1"/>
      </w:pPr>
      <w:r w:rsidRPr="00461F4D">
        <w:t>MANAGING GROUNDWATER AND GROUNDWATER SYSTEMS</w:t>
      </w:r>
    </w:p>
    <w:p w14:paraId="050A13FF" w14:textId="77777777" w:rsidR="00461F4D" w:rsidRPr="00461F4D" w:rsidRDefault="00461F4D" w:rsidP="00461F4D">
      <w:pPr>
        <w:shd w:val="clear" w:color="auto" w:fill="FDE9D9" w:themeFill="accent6" w:themeFillTint="33"/>
        <w:rPr>
          <w:rFonts w:asciiTheme="majorHAnsi" w:hAnsiTheme="majorHAnsi"/>
          <w:sz w:val="22"/>
        </w:rPr>
      </w:pPr>
      <w:r w:rsidRPr="00461F4D">
        <w:rPr>
          <w:rFonts w:asciiTheme="majorHAnsi" w:hAnsiTheme="majorHAnsi"/>
          <w:sz w:val="22"/>
        </w:rPr>
        <w:t>This section describes the management superstructure for integrating GW into FS management.  It should contain some of the same content as the IM&amp;A Technical Guide or at least a summary oriented toward application to management of GW and activities affecting GW and GW systems.</w:t>
      </w:r>
    </w:p>
    <w:p w14:paraId="6EADBE14" w14:textId="77777777" w:rsidR="00461F4D" w:rsidRPr="00461F4D" w:rsidRDefault="00461F4D" w:rsidP="00461F4D">
      <w:pPr>
        <w:pStyle w:val="Heading2"/>
        <w:spacing w:before="120"/>
      </w:pPr>
      <w:r w:rsidRPr="00461F4D">
        <w:t>Important Groundwater Concepts – Much of the same content from the IM&amp;A TG</w:t>
      </w:r>
    </w:p>
    <w:p w14:paraId="1A61F80F" w14:textId="77777777" w:rsidR="00461F4D" w:rsidRPr="00461F4D" w:rsidRDefault="00461F4D" w:rsidP="00461F4D">
      <w:pPr>
        <w:pStyle w:val="Heading2"/>
      </w:pPr>
      <w:r w:rsidRPr="00461F4D">
        <w:t>Hydrogeologic Conceptual Model – Much of the same content from the IM&amp;A TG</w:t>
      </w:r>
    </w:p>
    <w:p w14:paraId="3B76156A" w14:textId="77777777" w:rsidR="00461F4D" w:rsidRPr="00461F4D" w:rsidRDefault="00461F4D" w:rsidP="00461F4D">
      <w:pPr>
        <w:pStyle w:val="Heading3"/>
      </w:pPr>
      <w:r w:rsidRPr="00461F4D">
        <w:t>Geologic Framework</w:t>
      </w:r>
    </w:p>
    <w:p w14:paraId="3C2065AA" w14:textId="77777777" w:rsidR="00461F4D" w:rsidRPr="00461F4D" w:rsidRDefault="00461F4D" w:rsidP="00461F4D">
      <w:pPr>
        <w:pStyle w:val="Heading3"/>
      </w:pPr>
      <w:r w:rsidRPr="00461F4D">
        <w:t>Hydraulic Properties</w:t>
      </w:r>
    </w:p>
    <w:p w14:paraId="41E902A6" w14:textId="77777777" w:rsidR="00461F4D" w:rsidRPr="00461F4D" w:rsidRDefault="00461F4D" w:rsidP="00461F4D">
      <w:pPr>
        <w:pStyle w:val="Heading3"/>
      </w:pPr>
      <w:r w:rsidRPr="00461F4D">
        <w:t>Flow System</w:t>
      </w:r>
    </w:p>
    <w:p w14:paraId="2317769E" w14:textId="77777777" w:rsidR="00461F4D" w:rsidRPr="00461F4D" w:rsidRDefault="00461F4D" w:rsidP="00461F4D">
      <w:pPr>
        <w:pStyle w:val="Heading3"/>
      </w:pPr>
      <w:r w:rsidRPr="00461F4D">
        <w:t>Water Budgets</w:t>
      </w:r>
    </w:p>
    <w:p w14:paraId="562E5CD8" w14:textId="77777777" w:rsidR="00461F4D" w:rsidRPr="00461F4D" w:rsidRDefault="00461F4D" w:rsidP="00461F4D">
      <w:pPr>
        <w:pStyle w:val="Heading3"/>
      </w:pPr>
      <w:r w:rsidRPr="00461F4D">
        <w:t>Climate Change – How it affects the conceptual model, water budgets and flows</w:t>
      </w:r>
    </w:p>
    <w:p w14:paraId="4BACB551" w14:textId="77777777" w:rsidR="00461F4D" w:rsidRPr="00461F4D" w:rsidRDefault="00461F4D" w:rsidP="00461F4D">
      <w:pPr>
        <w:pStyle w:val="Heading3"/>
      </w:pPr>
      <w:r w:rsidRPr="00461F4D">
        <w:t>Hydrogeologic Mapping – Much of the same content from the IM&amp;A TG</w:t>
      </w:r>
    </w:p>
    <w:p w14:paraId="3BB4BF04" w14:textId="77777777" w:rsidR="00461F4D" w:rsidRPr="00461F4D" w:rsidRDefault="00461F4D" w:rsidP="00461F4D">
      <w:pPr>
        <w:pStyle w:val="Heading2"/>
      </w:pPr>
      <w:r w:rsidRPr="00461F4D">
        <w:lastRenderedPageBreak/>
        <w:t>Groundwater Dependent Ecosystems</w:t>
      </w:r>
    </w:p>
    <w:p w14:paraId="2010C715" w14:textId="77777777" w:rsidR="00461F4D" w:rsidRPr="00461F4D" w:rsidRDefault="00461F4D" w:rsidP="00461F4D">
      <w:pPr>
        <w:pStyle w:val="Heading3"/>
      </w:pPr>
      <w:r w:rsidRPr="00461F4D">
        <w:t>Groundwater-Dependent Ecosystems – Use IM&amp;A TG Section 3.3.1 and Appendix Here</w:t>
      </w:r>
    </w:p>
    <w:p w14:paraId="3EB2472C" w14:textId="77777777" w:rsidR="00461F4D" w:rsidRPr="00461F4D" w:rsidRDefault="00461F4D" w:rsidP="00461F4D">
      <w:pPr>
        <w:pStyle w:val="Heading3"/>
      </w:pPr>
      <w:r w:rsidRPr="00461F4D">
        <w:t>Stewardship and Management of GDEs  - Use SMNRA Stewardship Paper</w:t>
      </w:r>
    </w:p>
    <w:p w14:paraId="586134F4" w14:textId="77777777" w:rsidR="00461F4D" w:rsidRPr="00461F4D" w:rsidRDefault="00461F4D" w:rsidP="00461F4D">
      <w:pPr>
        <w:pStyle w:val="Heading4"/>
      </w:pPr>
      <w:r w:rsidRPr="00461F4D">
        <w:t>Stewardship Program Development</w:t>
      </w:r>
    </w:p>
    <w:p w14:paraId="243969E8" w14:textId="77777777" w:rsidR="00461F4D" w:rsidRPr="00461F4D" w:rsidRDefault="00461F4D" w:rsidP="00461F4D">
      <w:pPr>
        <w:pStyle w:val="Heading4"/>
      </w:pPr>
      <w:r w:rsidRPr="00461F4D">
        <w:t>Project Proposal Formulation</w:t>
      </w:r>
    </w:p>
    <w:p w14:paraId="49A0A706" w14:textId="77777777" w:rsidR="00461F4D" w:rsidRPr="00461F4D" w:rsidRDefault="00461F4D" w:rsidP="00461F4D">
      <w:pPr>
        <w:pStyle w:val="Heading3"/>
      </w:pPr>
      <w:r w:rsidRPr="00461F4D">
        <w:t xml:space="preserve">Environmental Flows and Levels – Use IM&amp;A TG 5.3.3 </w:t>
      </w:r>
      <w:proofErr w:type="gramStart"/>
      <w:r w:rsidRPr="00461F4D">
        <w:t>Here</w:t>
      </w:r>
      <w:proofErr w:type="gramEnd"/>
    </w:p>
    <w:p w14:paraId="33345E6F" w14:textId="77777777" w:rsidR="00461F4D" w:rsidRPr="00461F4D" w:rsidRDefault="00461F4D" w:rsidP="00461F4D">
      <w:pPr>
        <w:pStyle w:val="Heading3"/>
      </w:pPr>
      <w:r w:rsidRPr="00461F4D">
        <w:t>Inventory, Monitoring and Assessment – Link to the IM&amp;A TG Methods and Procedures Here</w:t>
      </w:r>
    </w:p>
    <w:p w14:paraId="7B178636" w14:textId="77777777" w:rsidR="00461F4D" w:rsidRPr="00461F4D" w:rsidRDefault="00461F4D" w:rsidP="00461F4D">
      <w:pPr>
        <w:pStyle w:val="Heading3"/>
        <w:numPr>
          <w:ilvl w:val="0"/>
          <w:numId w:val="0"/>
        </w:numPr>
        <w:ind w:left="1440"/>
      </w:pPr>
      <w:r w:rsidRPr="00461F4D">
        <w:t>Monitoring Design (GW course) – What isn’t in the IM&amp;A TG or Technical Notes?</w:t>
      </w:r>
    </w:p>
    <w:p w14:paraId="5084C72B" w14:textId="77777777" w:rsidR="00461F4D" w:rsidRPr="00461F4D" w:rsidRDefault="00461F4D" w:rsidP="00461F4D">
      <w:pPr>
        <w:pStyle w:val="Heading1"/>
      </w:pPr>
      <w:r w:rsidRPr="00461F4D">
        <w:t>MANAGING ACTIVITIES AFFECTING GROUNDWATER AND GROUNDWATER SYSTEMS</w:t>
      </w:r>
    </w:p>
    <w:p w14:paraId="10D998B6" w14:textId="77777777" w:rsidR="00461F4D" w:rsidRPr="00461F4D" w:rsidRDefault="00461F4D" w:rsidP="00461F4D">
      <w:pPr>
        <w:shd w:val="clear" w:color="auto" w:fill="FDE9D9" w:themeFill="accent6" w:themeFillTint="33"/>
        <w:rPr>
          <w:rFonts w:asciiTheme="majorHAnsi" w:hAnsiTheme="majorHAnsi"/>
          <w:sz w:val="22"/>
        </w:rPr>
      </w:pPr>
      <w:r w:rsidRPr="00461F4D">
        <w:rPr>
          <w:rFonts w:asciiTheme="majorHAnsi" w:hAnsiTheme="majorHAnsi"/>
          <w:sz w:val="22"/>
        </w:rPr>
        <w:t>This section describes how you apply the concepts from Section 2 and use information and guidance from the IM&amp;A Technical Guide in the management of activities that affect GW</w:t>
      </w:r>
    </w:p>
    <w:p w14:paraId="06C43AAA" w14:textId="77777777" w:rsidR="00461F4D" w:rsidRPr="00461F4D" w:rsidRDefault="00461F4D" w:rsidP="00461F4D">
      <w:pPr>
        <w:pStyle w:val="Heading2"/>
        <w:spacing w:before="120"/>
      </w:pPr>
      <w:r w:rsidRPr="00461F4D">
        <w:t>Integrating Groundwater Resource Considerations into Forest Service Decision Making</w:t>
      </w:r>
    </w:p>
    <w:p w14:paraId="310B363E" w14:textId="77777777" w:rsidR="00461F4D" w:rsidRPr="00461F4D" w:rsidRDefault="00461F4D" w:rsidP="00461F4D">
      <w:pPr>
        <w:pStyle w:val="Heading3"/>
      </w:pPr>
      <w:r w:rsidRPr="00461F4D">
        <w:t>Land Management Planning</w:t>
      </w:r>
    </w:p>
    <w:p w14:paraId="162CC1FE" w14:textId="77777777" w:rsidR="00461F4D" w:rsidRPr="00461F4D" w:rsidRDefault="00461F4D" w:rsidP="00461F4D">
      <w:pPr>
        <w:pStyle w:val="Heading3"/>
      </w:pPr>
      <w:r w:rsidRPr="00461F4D">
        <w:t>Projects and Activity Decisions</w:t>
      </w:r>
    </w:p>
    <w:p w14:paraId="4E1ADC1A" w14:textId="77777777" w:rsidR="00461F4D" w:rsidRPr="00461F4D" w:rsidRDefault="00461F4D" w:rsidP="00461F4D">
      <w:pPr>
        <w:pStyle w:val="Heading3"/>
      </w:pPr>
      <w:r w:rsidRPr="00461F4D">
        <w:t>Project and Activity Administration</w:t>
      </w:r>
    </w:p>
    <w:p w14:paraId="777ABF70" w14:textId="77777777" w:rsidR="00461F4D" w:rsidRPr="00461F4D" w:rsidRDefault="00461F4D" w:rsidP="00461F4D">
      <w:pPr>
        <w:pStyle w:val="Heading2"/>
      </w:pPr>
      <w:r w:rsidRPr="00461F4D">
        <w:t>Groundwater Extraction and Use</w:t>
      </w:r>
    </w:p>
    <w:p w14:paraId="3B0F1E67" w14:textId="77777777" w:rsidR="00461F4D" w:rsidRPr="00461F4D" w:rsidRDefault="00461F4D" w:rsidP="00461F4D">
      <w:pPr>
        <w:shd w:val="clear" w:color="auto" w:fill="FDE9D9" w:themeFill="accent6" w:themeFillTint="33"/>
        <w:rPr>
          <w:rFonts w:asciiTheme="majorHAnsi" w:hAnsiTheme="majorHAnsi"/>
          <w:sz w:val="22"/>
        </w:rPr>
      </w:pPr>
      <w:r w:rsidRPr="00461F4D">
        <w:rPr>
          <w:rFonts w:asciiTheme="majorHAnsi" w:hAnsiTheme="majorHAnsi"/>
          <w:sz w:val="22"/>
        </w:rPr>
        <w:t>These uses extract, consume/use GW under specific authorizations.  GW pumping may apply to other activities such as mining or oil and gas development, but those uses are authorized under an APD, operating plan, etc.</w:t>
      </w:r>
    </w:p>
    <w:p w14:paraId="4E0E32DA" w14:textId="77777777" w:rsidR="00461F4D" w:rsidRPr="00461F4D" w:rsidRDefault="00461F4D" w:rsidP="00461F4D">
      <w:pPr>
        <w:pStyle w:val="Heading3"/>
      </w:pPr>
      <w:r w:rsidRPr="00461F4D">
        <w:t xml:space="preserve">Groundwater Pumping – </w:t>
      </w:r>
    </w:p>
    <w:p w14:paraId="11C1C272" w14:textId="77777777" w:rsidR="00461F4D" w:rsidRPr="00461F4D" w:rsidRDefault="00461F4D" w:rsidP="00461F4D">
      <w:pPr>
        <w:pStyle w:val="Heading4"/>
      </w:pPr>
      <w:r w:rsidRPr="00461F4D">
        <w:t>Declining Water Levels</w:t>
      </w:r>
    </w:p>
    <w:p w14:paraId="514D3C72" w14:textId="77777777" w:rsidR="00461F4D" w:rsidRPr="00461F4D" w:rsidRDefault="00461F4D" w:rsidP="00461F4D">
      <w:pPr>
        <w:pStyle w:val="Heading4"/>
      </w:pPr>
      <w:r w:rsidRPr="00461F4D">
        <w:t>Land Subsidence</w:t>
      </w:r>
    </w:p>
    <w:p w14:paraId="1B14C1A0" w14:textId="77777777" w:rsidR="00461F4D" w:rsidRPr="00461F4D" w:rsidRDefault="00461F4D" w:rsidP="00461F4D">
      <w:pPr>
        <w:pStyle w:val="Heading4"/>
      </w:pPr>
      <w:r w:rsidRPr="00461F4D">
        <w:t>Influence of Wells on Streams (how to assess)</w:t>
      </w:r>
    </w:p>
    <w:p w14:paraId="0654D34C" w14:textId="77777777" w:rsidR="00461F4D" w:rsidRPr="00461F4D" w:rsidRDefault="00461F4D" w:rsidP="00461F4D">
      <w:pPr>
        <w:pStyle w:val="Heading4"/>
      </w:pPr>
      <w:r w:rsidRPr="00461F4D">
        <w:t>Wells adjacent to NFS lands</w:t>
      </w:r>
    </w:p>
    <w:p w14:paraId="7F3AB89D" w14:textId="77777777" w:rsidR="00461F4D" w:rsidRPr="00461F4D" w:rsidRDefault="00461F4D" w:rsidP="00461F4D">
      <w:pPr>
        <w:pStyle w:val="Heading4"/>
      </w:pPr>
      <w:r w:rsidRPr="00461F4D">
        <w:t>EFL</w:t>
      </w:r>
    </w:p>
    <w:p w14:paraId="0AC94D1C" w14:textId="77777777" w:rsidR="00461F4D" w:rsidRPr="00461F4D" w:rsidRDefault="00461F4D" w:rsidP="00461F4D">
      <w:pPr>
        <w:pStyle w:val="Heading3"/>
      </w:pPr>
      <w:r w:rsidRPr="00461F4D">
        <w:t>Public Drinking Water Supplies (GW course)</w:t>
      </w:r>
    </w:p>
    <w:p w14:paraId="679FD834" w14:textId="77777777" w:rsidR="00461F4D" w:rsidRPr="00461F4D" w:rsidRDefault="00461F4D" w:rsidP="00461F4D">
      <w:pPr>
        <w:pStyle w:val="Heading4"/>
      </w:pPr>
      <w:r w:rsidRPr="00461F4D">
        <w:t>Source-Water Protection</w:t>
      </w:r>
    </w:p>
    <w:p w14:paraId="7A362318" w14:textId="77777777" w:rsidR="00461F4D" w:rsidRPr="00461F4D" w:rsidRDefault="00461F4D" w:rsidP="00461F4D">
      <w:pPr>
        <w:pStyle w:val="Heading4"/>
      </w:pPr>
      <w:r w:rsidRPr="00461F4D">
        <w:t>Coordination with Public Water Supply Purveyors</w:t>
      </w:r>
    </w:p>
    <w:p w14:paraId="09ED589E" w14:textId="77777777" w:rsidR="00461F4D" w:rsidRPr="00461F4D" w:rsidRDefault="00461F4D" w:rsidP="00461F4D">
      <w:pPr>
        <w:pStyle w:val="Heading4"/>
      </w:pPr>
      <w:r w:rsidRPr="00461F4D">
        <w:t>Protecting Public Water Supplies Through Forest Planning</w:t>
      </w:r>
    </w:p>
    <w:p w14:paraId="716D537A" w14:textId="77777777" w:rsidR="00461F4D" w:rsidRPr="00461F4D" w:rsidRDefault="00461F4D" w:rsidP="00461F4D">
      <w:pPr>
        <w:pStyle w:val="Heading4"/>
      </w:pPr>
      <w:r w:rsidRPr="00461F4D">
        <w:t>Protecting Public Water Systems – Homeland Security Directive</w:t>
      </w:r>
    </w:p>
    <w:p w14:paraId="0A28645D" w14:textId="77777777" w:rsidR="00461F4D" w:rsidRPr="00461F4D" w:rsidRDefault="00461F4D" w:rsidP="00461F4D">
      <w:pPr>
        <w:pStyle w:val="Heading3"/>
      </w:pPr>
      <w:r w:rsidRPr="00461F4D">
        <w:t>Special Use Authorizations of Water Wells and Pipelines (GW course)</w:t>
      </w:r>
    </w:p>
    <w:p w14:paraId="4A9EECC5" w14:textId="77777777" w:rsidR="00461F4D" w:rsidRPr="00461F4D" w:rsidRDefault="00461F4D" w:rsidP="00461F4D">
      <w:pPr>
        <w:pStyle w:val="Heading4"/>
      </w:pPr>
      <w:r w:rsidRPr="00461F4D">
        <w:t>Initial Screening for Well and Pipeline Development.</w:t>
      </w:r>
    </w:p>
    <w:p w14:paraId="4DEE291E" w14:textId="77777777" w:rsidR="00461F4D" w:rsidRPr="00461F4D" w:rsidRDefault="00461F4D" w:rsidP="00461F4D">
      <w:pPr>
        <w:pStyle w:val="Heading4"/>
      </w:pPr>
      <w:r w:rsidRPr="00461F4D">
        <w:t>Second-level Screening</w:t>
      </w:r>
    </w:p>
    <w:p w14:paraId="44AC3EC9" w14:textId="77777777" w:rsidR="00461F4D" w:rsidRPr="00461F4D" w:rsidRDefault="00461F4D" w:rsidP="00461F4D">
      <w:pPr>
        <w:pStyle w:val="Heading4"/>
      </w:pPr>
      <w:r w:rsidRPr="00461F4D">
        <w:t>Environmental Analysis</w:t>
      </w:r>
    </w:p>
    <w:p w14:paraId="1EF18B86" w14:textId="77777777" w:rsidR="00461F4D" w:rsidRPr="00461F4D" w:rsidRDefault="00461F4D" w:rsidP="00461F4D">
      <w:pPr>
        <w:pStyle w:val="Heading4"/>
      </w:pPr>
      <w:r w:rsidRPr="00461F4D">
        <w:t>Exploratory Drilling Procedures</w:t>
      </w:r>
    </w:p>
    <w:p w14:paraId="338259BD" w14:textId="77777777" w:rsidR="00461F4D" w:rsidRPr="00461F4D" w:rsidRDefault="00461F4D" w:rsidP="00461F4D">
      <w:pPr>
        <w:pStyle w:val="Heading4"/>
      </w:pPr>
      <w:r w:rsidRPr="00461F4D">
        <w:t>Construction and Production Permitting</w:t>
      </w:r>
    </w:p>
    <w:p w14:paraId="2AB97B22" w14:textId="77777777" w:rsidR="00461F4D" w:rsidRPr="00461F4D" w:rsidRDefault="00461F4D" w:rsidP="00461F4D">
      <w:pPr>
        <w:pStyle w:val="Heading4"/>
      </w:pPr>
      <w:r w:rsidRPr="00461F4D">
        <w:t>Monitoring and Mitigation</w:t>
      </w:r>
    </w:p>
    <w:p w14:paraId="28B5882B" w14:textId="77777777" w:rsidR="00461F4D" w:rsidRPr="00461F4D" w:rsidRDefault="00461F4D" w:rsidP="00461F4D">
      <w:pPr>
        <w:pStyle w:val="Heading4"/>
      </w:pPr>
      <w:r w:rsidRPr="00461F4D">
        <w:t>Considerations in contracting for well drilling</w:t>
      </w:r>
    </w:p>
    <w:p w14:paraId="573591AB" w14:textId="77777777" w:rsidR="00461F4D" w:rsidRPr="00461F4D" w:rsidRDefault="00461F4D" w:rsidP="00461F4D">
      <w:pPr>
        <w:pStyle w:val="Heading4"/>
      </w:pPr>
      <w:r w:rsidRPr="00461F4D">
        <w:t>Dowsing</w:t>
      </w:r>
    </w:p>
    <w:p w14:paraId="3D2221DE" w14:textId="77777777" w:rsidR="00461F4D" w:rsidRPr="00461F4D" w:rsidRDefault="00461F4D" w:rsidP="00461F4D">
      <w:pPr>
        <w:pStyle w:val="Heading4"/>
      </w:pPr>
      <w:r w:rsidRPr="00461F4D">
        <w:t>NEPA Guidance</w:t>
      </w:r>
    </w:p>
    <w:p w14:paraId="617A05D5" w14:textId="77777777" w:rsidR="00461F4D" w:rsidRPr="00461F4D" w:rsidRDefault="00461F4D" w:rsidP="00461F4D">
      <w:pPr>
        <w:pStyle w:val="Heading3"/>
      </w:pPr>
      <w:r w:rsidRPr="00461F4D">
        <w:t>Domestic Livestock Grazing Authorizations of Water Use and Water Sources</w:t>
      </w:r>
    </w:p>
    <w:p w14:paraId="213EA176" w14:textId="77777777" w:rsidR="00461F4D" w:rsidRPr="00461F4D" w:rsidRDefault="00461F4D" w:rsidP="00461F4D">
      <w:pPr>
        <w:pStyle w:val="Heading4"/>
      </w:pPr>
      <w:r w:rsidRPr="00461F4D">
        <w:t>Stockwater development and maintenance</w:t>
      </w:r>
    </w:p>
    <w:p w14:paraId="7AC4E09D" w14:textId="77777777" w:rsidR="00461F4D" w:rsidRDefault="00461F4D" w:rsidP="00461F4D">
      <w:pPr>
        <w:pStyle w:val="Heading4"/>
      </w:pPr>
      <w:r w:rsidRPr="00461F4D">
        <w:t>Groundwater Dependent Ecosystems</w:t>
      </w:r>
    </w:p>
    <w:p w14:paraId="6DE9E271" w14:textId="77777777" w:rsidR="00461F4D" w:rsidRPr="00461F4D" w:rsidRDefault="00461F4D" w:rsidP="00461F4D">
      <w:pPr>
        <w:rPr>
          <w:rFonts w:asciiTheme="minorHAnsi" w:eastAsiaTheme="majorEastAsia" w:hAnsiTheme="minorHAnsi" w:cstheme="majorBidi"/>
          <w:sz w:val="22"/>
        </w:rPr>
      </w:pPr>
      <w:r>
        <w:br w:type="page"/>
      </w:r>
    </w:p>
    <w:p w14:paraId="40A0E92F" w14:textId="77777777" w:rsidR="00461F4D" w:rsidRPr="00461F4D" w:rsidRDefault="00461F4D" w:rsidP="00461F4D">
      <w:pPr>
        <w:pStyle w:val="Heading2"/>
      </w:pPr>
      <w:r w:rsidRPr="00461F4D">
        <w:lastRenderedPageBreak/>
        <w:t>Managing Effects of Projects and Activities on Groundwater Resources and Systems</w:t>
      </w:r>
    </w:p>
    <w:p w14:paraId="781E8BB5" w14:textId="77777777" w:rsidR="00461F4D" w:rsidRPr="00461F4D" w:rsidRDefault="00461F4D" w:rsidP="00461F4D">
      <w:pPr>
        <w:shd w:val="clear" w:color="auto" w:fill="FDE9D9" w:themeFill="accent6" w:themeFillTint="33"/>
        <w:rPr>
          <w:rFonts w:asciiTheme="majorHAnsi" w:hAnsiTheme="majorHAnsi"/>
          <w:sz w:val="22"/>
        </w:rPr>
      </w:pPr>
      <w:r w:rsidRPr="00461F4D">
        <w:rPr>
          <w:rFonts w:asciiTheme="majorHAnsi" w:hAnsiTheme="majorHAnsi"/>
          <w:sz w:val="22"/>
        </w:rPr>
        <w:t>These are projects, activities and uses that are authorized on NFS lands or affecting NFS lands and resources where the effects and their mitigation are addressed in project NEPA decisions.  In some cases, the FS may be a cooperating agency on NEPA decisions by other Federal Agencies</w:t>
      </w:r>
    </w:p>
    <w:p w14:paraId="46E2A493" w14:textId="77777777" w:rsidR="00461F4D" w:rsidRPr="00461F4D" w:rsidRDefault="00461F4D" w:rsidP="00461F4D">
      <w:pPr>
        <w:pStyle w:val="Heading3"/>
        <w:rPr>
          <w:color w:val="000000" w:themeColor="text1"/>
        </w:rPr>
      </w:pPr>
      <w:r w:rsidRPr="00461F4D">
        <w:t>Hardrock Mining</w:t>
      </w:r>
    </w:p>
    <w:p w14:paraId="7FD0851F" w14:textId="77777777" w:rsidR="00461F4D" w:rsidRPr="00461F4D" w:rsidRDefault="00461F4D" w:rsidP="00461F4D">
      <w:pPr>
        <w:pStyle w:val="Heading4"/>
      </w:pPr>
      <w:r w:rsidRPr="00461F4D">
        <w:t>Exploration phase (NEPA guidance)</w:t>
      </w:r>
    </w:p>
    <w:p w14:paraId="7D9001C6" w14:textId="77777777" w:rsidR="00461F4D" w:rsidRPr="00461F4D" w:rsidRDefault="00461F4D" w:rsidP="00461F4D">
      <w:pPr>
        <w:pStyle w:val="Heading4"/>
      </w:pPr>
      <w:r w:rsidRPr="00461F4D">
        <w:t>Operational Phase</w:t>
      </w:r>
    </w:p>
    <w:p w14:paraId="18A11187" w14:textId="77777777" w:rsidR="00461F4D" w:rsidRPr="00461F4D" w:rsidRDefault="00461F4D" w:rsidP="00461F4D">
      <w:pPr>
        <w:pStyle w:val="Heading4"/>
      </w:pPr>
      <w:r w:rsidRPr="00461F4D">
        <w:t xml:space="preserve">Groundwater depletion (evaluating impacts to GDEs and stream baseflows) </w:t>
      </w:r>
    </w:p>
    <w:p w14:paraId="762A209C" w14:textId="77777777" w:rsidR="00461F4D" w:rsidRPr="00461F4D" w:rsidRDefault="00461F4D" w:rsidP="00461F4D">
      <w:pPr>
        <w:pStyle w:val="Heading4"/>
      </w:pPr>
      <w:r w:rsidRPr="00461F4D">
        <w:t>Groundwater contamination (waste rock, tailings, workings)</w:t>
      </w:r>
    </w:p>
    <w:p w14:paraId="49320632" w14:textId="77777777" w:rsidR="00461F4D" w:rsidRPr="00461F4D" w:rsidRDefault="00461F4D" w:rsidP="00461F4D">
      <w:pPr>
        <w:pStyle w:val="Heading4"/>
        <w:rPr>
          <w:color w:val="000000" w:themeColor="text1"/>
        </w:rPr>
      </w:pPr>
      <w:r w:rsidRPr="00461F4D">
        <w:t>Closure Phase (options, hydraulic effects from plugging or free draining)</w:t>
      </w:r>
    </w:p>
    <w:p w14:paraId="1F247A04" w14:textId="77777777" w:rsidR="00461F4D" w:rsidRPr="00461F4D" w:rsidRDefault="00461F4D" w:rsidP="00461F4D">
      <w:pPr>
        <w:pStyle w:val="Heading4"/>
      </w:pPr>
      <w:r w:rsidRPr="00461F4D">
        <w:t>Placer mining</w:t>
      </w:r>
    </w:p>
    <w:p w14:paraId="5569BABA" w14:textId="77777777" w:rsidR="00461F4D" w:rsidRPr="00461F4D" w:rsidRDefault="00461F4D" w:rsidP="00461F4D">
      <w:pPr>
        <w:pStyle w:val="Heading4"/>
      </w:pPr>
      <w:r w:rsidRPr="00461F4D">
        <w:t>NEPA Guidance</w:t>
      </w:r>
    </w:p>
    <w:p w14:paraId="542D5227" w14:textId="77777777" w:rsidR="00461F4D" w:rsidRPr="00461F4D" w:rsidRDefault="00461F4D" w:rsidP="00461F4D">
      <w:pPr>
        <w:pStyle w:val="Heading4"/>
      </w:pPr>
      <w:r w:rsidRPr="00461F4D">
        <w:t>Case Study:  Depletion of Streamflow by Underground Mining, Stillwater Mine, Montana</w:t>
      </w:r>
    </w:p>
    <w:p w14:paraId="69B5812D" w14:textId="77777777" w:rsidR="00461F4D" w:rsidRPr="00461F4D" w:rsidRDefault="00461F4D" w:rsidP="00461F4D">
      <w:pPr>
        <w:pStyle w:val="Heading3"/>
      </w:pPr>
      <w:r w:rsidRPr="00461F4D">
        <w:t>Oil and Gas Exploration and Development</w:t>
      </w:r>
    </w:p>
    <w:p w14:paraId="73298179" w14:textId="77777777" w:rsidR="00461F4D" w:rsidRPr="00461F4D" w:rsidRDefault="00461F4D" w:rsidP="00461F4D">
      <w:pPr>
        <w:pStyle w:val="Heading4"/>
      </w:pPr>
      <w:r w:rsidRPr="00461F4D">
        <w:t>Shallow groundwater contamination</w:t>
      </w:r>
    </w:p>
    <w:p w14:paraId="1A58EEE7" w14:textId="77777777" w:rsidR="00461F4D" w:rsidRPr="00461F4D" w:rsidRDefault="00461F4D" w:rsidP="00461F4D">
      <w:pPr>
        <w:pStyle w:val="Heading4"/>
      </w:pPr>
      <w:r w:rsidRPr="00461F4D">
        <w:t>Secondary Removal and Recovery/Fracking</w:t>
      </w:r>
      <w:r w:rsidRPr="00461F4D">
        <w:rPr>
          <w:b/>
        </w:rPr>
        <w:t xml:space="preserve"> -NEW</w:t>
      </w:r>
    </w:p>
    <w:p w14:paraId="60D1D5C7" w14:textId="77777777" w:rsidR="00461F4D" w:rsidRPr="00461F4D" w:rsidRDefault="00461F4D" w:rsidP="00461F4D">
      <w:pPr>
        <w:pStyle w:val="Heading3"/>
        <w:rPr>
          <w:color w:val="000000" w:themeColor="text1"/>
        </w:rPr>
      </w:pPr>
      <w:r w:rsidRPr="00461F4D">
        <w:t>Coal-bed methane</w:t>
      </w:r>
    </w:p>
    <w:p w14:paraId="6D032688" w14:textId="77777777" w:rsidR="00461F4D" w:rsidRPr="00461F4D" w:rsidRDefault="00461F4D" w:rsidP="00461F4D">
      <w:pPr>
        <w:pStyle w:val="Heading4"/>
      </w:pPr>
      <w:r w:rsidRPr="00461F4D">
        <w:t>Disposal of Production Water</w:t>
      </w:r>
    </w:p>
    <w:p w14:paraId="2CEA172F" w14:textId="77777777" w:rsidR="00461F4D" w:rsidRPr="00461F4D" w:rsidRDefault="00461F4D" w:rsidP="00461F4D">
      <w:pPr>
        <w:pStyle w:val="Heading4"/>
        <w:rPr>
          <w:webHidden/>
          <w:color w:val="000000" w:themeColor="text1"/>
        </w:rPr>
      </w:pPr>
      <w:r w:rsidRPr="00461F4D">
        <w:t>NEPA guidance</w:t>
      </w:r>
      <w:r w:rsidRPr="00461F4D">
        <w:rPr>
          <w:webHidden/>
          <w:color w:val="000000" w:themeColor="text1"/>
        </w:rPr>
        <w:tab/>
      </w:r>
    </w:p>
    <w:p w14:paraId="2B882F95" w14:textId="77777777" w:rsidR="00461F4D" w:rsidRPr="00461F4D" w:rsidRDefault="00461F4D" w:rsidP="00461F4D">
      <w:pPr>
        <w:pStyle w:val="Heading3"/>
      </w:pPr>
      <w:r w:rsidRPr="00461F4D">
        <w:t>Coal Mining</w:t>
      </w:r>
    </w:p>
    <w:p w14:paraId="229621E0" w14:textId="77777777" w:rsidR="00461F4D" w:rsidRPr="00461F4D" w:rsidRDefault="00461F4D" w:rsidP="00461F4D">
      <w:pPr>
        <w:pStyle w:val="Heading4"/>
        <w:rPr>
          <w:color w:val="000000" w:themeColor="text1"/>
        </w:rPr>
      </w:pPr>
      <w:r w:rsidRPr="00461F4D">
        <w:t>Subsidence effects on groundwater flow</w:t>
      </w:r>
    </w:p>
    <w:p w14:paraId="749E516F" w14:textId="77777777" w:rsidR="00461F4D" w:rsidRPr="00461F4D" w:rsidRDefault="00461F4D" w:rsidP="00461F4D">
      <w:pPr>
        <w:pStyle w:val="Heading4"/>
      </w:pPr>
      <w:r w:rsidRPr="00461F4D">
        <w:t>Groundwater and Slope Stability</w:t>
      </w:r>
    </w:p>
    <w:p w14:paraId="78A6FEF7" w14:textId="77777777" w:rsidR="00461F4D" w:rsidRPr="00461F4D" w:rsidRDefault="00461F4D" w:rsidP="00461F4D">
      <w:pPr>
        <w:pStyle w:val="Heading4"/>
      </w:pPr>
      <w:r w:rsidRPr="00461F4D">
        <w:t>Groundwater and Stream/Wetland/Spring Restoration</w:t>
      </w:r>
    </w:p>
    <w:p w14:paraId="39903C72" w14:textId="77777777" w:rsidR="00461F4D" w:rsidRPr="00461F4D" w:rsidRDefault="00461F4D" w:rsidP="00461F4D">
      <w:pPr>
        <w:pStyle w:val="Heading3"/>
        <w:rPr>
          <w:color w:val="000000" w:themeColor="text1"/>
        </w:rPr>
      </w:pPr>
      <w:r w:rsidRPr="00461F4D">
        <w:t>Effects of Vegetation Management on Groundwater</w:t>
      </w:r>
    </w:p>
    <w:p w14:paraId="6D6BBED9" w14:textId="77777777" w:rsidR="00461F4D" w:rsidRPr="00461F4D" w:rsidRDefault="00461F4D" w:rsidP="00461F4D">
      <w:pPr>
        <w:pStyle w:val="Heading4"/>
      </w:pPr>
      <w:r w:rsidRPr="00461F4D">
        <w:t>Phreatophyte Management</w:t>
      </w:r>
    </w:p>
    <w:p w14:paraId="59857814" w14:textId="77777777" w:rsidR="00461F4D" w:rsidRPr="00461F4D" w:rsidRDefault="00461F4D" w:rsidP="00461F4D">
      <w:pPr>
        <w:pStyle w:val="Heading4"/>
      </w:pPr>
      <w:r w:rsidRPr="00461F4D">
        <w:t>Upland Forest Management</w:t>
      </w:r>
    </w:p>
    <w:p w14:paraId="705C6ACF" w14:textId="77777777" w:rsidR="00461F4D" w:rsidRPr="00461F4D" w:rsidRDefault="00461F4D" w:rsidP="00461F4D">
      <w:pPr>
        <w:pStyle w:val="Heading4"/>
        <w:rPr>
          <w:color w:val="000000" w:themeColor="text1"/>
        </w:rPr>
      </w:pPr>
      <w:r w:rsidRPr="00461F4D">
        <w:t>Case Study:  Effects of Acidic Precipitation on Ground Water in the Northeastern U.S.</w:t>
      </w:r>
    </w:p>
    <w:p w14:paraId="247A7559" w14:textId="77777777" w:rsidR="00461F4D" w:rsidRPr="00461F4D" w:rsidRDefault="00461F4D" w:rsidP="00461F4D">
      <w:pPr>
        <w:pStyle w:val="Heading3"/>
      </w:pPr>
      <w:r w:rsidRPr="00461F4D">
        <w:t>Wildland Fire</w:t>
      </w:r>
    </w:p>
    <w:p w14:paraId="08F48B69" w14:textId="77777777" w:rsidR="00461F4D" w:rsidRPr="00461F4D" w:rsidRDefault="00461F4D" w:rsidP="00461F4D">
      <w:pPr>
        <w:pStyle w:val="Heading1"/>
        <w:numPr>
          <w:ilvl w:val="0"/>
          <w:numId w:val="0"/>
        </w:numPr>
        <w:ind w:left="360"/>
        <w:rPr>
          <w:rFonts w:eastAsiaTheme="minorEastAsia"/>
        </w:rPr>
      </w:pPr>
      <w:r w:rsidRPr="00461F4D">
        <w:rPr>
          <w:rFonts w:eastAsiaTheme="minorEastAsia"/>
        </w:rPr>
        <w:t>REFERENCES</w:t>
      </w:r>
    </w:p>
    <w:p w14:paraId="2894F7D7" w14:textId="77777777" w:rsidR="00461F4D" w:rsidRPr="00461F4D" w:rsidRDefault="00461F4D" w:rsidP="00461F4D">
      <w:pPr>
        <w:rPr>
          <w:rFonts w:eastAsiaTheme="minorEastAsia"/>
          <w:sz w:val="22"/>
        </w:rPr>
      </w:pPr>
    </w:p>
    <w:p w14:paraId="75F4AB86" w14:textId="77777777" w:rsidR="00461F4D" w:rsidRPr="00461F4D" w:rsidRDefault="00461F4D" w:rsidP="00461F4D">
      <w:pPr>
        <w:pStyle w:val="Heading1"/>
        <w:numPr>
          <w:ilvl w:val="0"/>
          <w:numId w:val="0"/>
        </w:numPr>
        <w:ind w:left="360"/>
        <w:rPr>
          <w:rFonts w:eastAsiaTheme="minorEastAsia"/>
        </w:rPr>
      </w:pPr>
      <w:r w:rsidRPr="00461F4D">
        <w:rPr>
          <w:rFonts w:eastAsiaTheme="minorEastAsia"/>
        </w:rPr>
        <w:t>APPENDICIES</w:t>
      </w:r>
    </w:p>
    <w:p w14:paraId="46652B44" w14:textId="77777777" w:rsidR="00461F4D" w:rsidRPr="00461F4D" w:rsidRDefault="00461F4D" w:rsidP="00461F4D">
      <w:pPr>
        <w:rPr>
          <w:rFonts w:asciiTheme="minorHAnsi" w:eastAsiaTheme="minorEastAsia" w:hAnsiTheme="minorHAnsi"/>
          <w:sz w:val="22"/>
        </w:rPr>
      </w:pPr>
      <w:r w:rsidRPr="00461F4D">
        <w:rPr>
          <w:rFonts w:asciiTheme="minorHAnsi" w:eastAsiaTheme="minorEastAsia" w:hAnsiTheme="minorHAnsi"/>
          <w:sz w:val="22"/>
        </w:rPr>
        <w:t>Case Studies would go here</w:t>
      </w:r>
    </w:p>
    <w:p w14:paraId="3239A5A6" w14:textId="77777777" w:rsidR="00461F4D" w:rsidRPr="00461F4D" w:rsidRDefault="00461F4D" w:rsidP="00461F4D">
      <w:pPr>
        <w:rPr>
          <w:rFonts w:eastAsiaTheme="minorEastAsia"/>
          <w:sz w:val="22"/>
        </w:rPr>
      </w:pPr>
    </w:p>
    <w:p w14:paraId="689491E4" w14:textId="77777777" w:rsidR="0002368D" w:rsidRPr="00461F4D" w:rsidRDefault="0002368D" w:rsidP="00461F4D">
      <w:pPr>
        <w:rPr>
          <w:rFonts w:asciiTheme="minorHAnsi" w:hAnsiTheme="minorHAnsi" w:cs="Arial"/>
          <w:sz w:val="20"/>
          <w:szCs w:val="22"/>
        </w:rPr>
      </w:pPr>
    </w:p>
    <w:sectPr w:rsidR="0002368D" w:rsidRPr="00461F4D" w:rsidSect="00461F4D">
      <w:footerReference w:type="default" r:id="rId10"/>
      <w:pgSz w:w="12240" w:h="15840"/>
      <w:pgMar w:top="1350" w:right="126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CABC1" w14:textId="77777777" w:rsidR="00246272" w:rsidRDefault="00246272" w:rsidP="0002368D">
      <w:r>
        <w:separator/>
      </w:r>
    </w:p>
  </w:endnote>
  <w:endnote w:type="continuationSeparator" w:id="0">
    <w:p w14:paraId="10BDD9F4" w14:textId="77777777" w:rsidR="00246272" w:rsidRDefault="00246272" w:rsidP="0002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D7A53" w14:textId="77777777" w:rsidR="00246272" w:rsidRPr="0002368D" w:rsidRDefault="00246272" w:rsidP="0002368D">
    <w:pPr>
      <w:pStyle w:val="Footer"/>
      <w:pBdr>
        <w:top w:val="single" w:sz="4" w:space="1" w:color="auto"/>
      </w:pBdr>
      <w:rPr>
        <w:rFonts w:asciiTheme="minorHAnsi" w:hAnsiTheme="minorHAnsi"/>
        <w:b/>
        <w:i/>
        <w:sz w:val="16"/>
      </w:rPr>
    </w:pPr>
    <w:r w:rsidRPr="0002368D">
      <w:rPr>
        <w:rFonts w:asciiTheme="minorHAnsi" w:hAnsiTheme="minorHAnsi"/>
        <w:b/>
        <w:i/>
        <w:sz w:val="20"/>
      </w:rPr>
      <w:t>Groundwater Technical Guide Development Steering Team Meeting Notes (v1.0) 1/23/14</w:t>
    </w:r>
    <w:r>
      <w:rPr>
        <w:rFonts w:asciiTheme="minorHAnsi" w:hAnsiTheme="minorHAnsi"/>
        <w:b/>
        <w:i/>
        <w:sz w:val="20"/>
      </w:rPr>
      <w:tab/>
    </w:r>
    <w:r w:rsidRPr="0002368D">
      <w:rPr>
        <w:rStyle w:val="PageNumber"/>
        <w:rFonts w:asciiTheme="minorHAnsi" w:hAnsiTheme="minorHAnsi"/>
        <w:b/>
        <w:i/>
        <w:sz w:val="20"/>
      </w:rPr>
      <w:fldChar w:fldCharType="begin"/>
    </w:r>
    <w:r w:rsidRPr="0002368D">
      <w:rPr>
        <w:rStyle w:val="PageNumber"/>
        <w:rFonts w:asciiTheme="minorHAnsi" w:hAnsiTheme="minorHAnsi"/>
        <w:b/>
        <w:i/>
        <w:sz w:val="20"/>
      </w:rPr>
      <w:instrText xml:space="preserve"> PAGE </w:instrText>
    </w:r>
    <w:r w:rsidRPr="0002368D">
      <w:rPr>
        <w:rStyle w:val="PageNumber"/>
        <w:rFonts w:asciiTheme="minorHAnsi" w:hAnsiTheme="minorHAnsi"/>
        <w:b/>
        <w:i/>
        <w:sz w:val="20"/>
      </w:rPr>
      <w:fldChar w:fldCharType="separate"/>
    </w:r>
    <w:r w:rsidR="002D0EAF">
      <w:rPr>
        <w:rStyle w:val="PageNumber"/>
        <w:rFonts w:asciiTheme="minorHAnsi" w:hAnsiTheme="minorHAnsi"/>
        <w:b/>
        <w:i/>
        <w:noProof/>
        <w:sz w:val="20"/>
      </w:rPr>
      <w:t>3</w:t>
    </w:r>
    <w:r w:rsidRPr="0002368D">
      <w:rPr>
        <w:rStyle w:val="PageNumber"/>
        <w:rFonts w:asciiTheme="minorHAnsi" w:hAnsiTheme="minorHAnsi"/>
        <w:b/>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85EBC" w14:textId="77777777" w:rsidR="00246272" w:rsidRDefault="00246272" w:rsidP="0002368D">
      <w:r>
        <w:separator/>
      </w:r>
    </w:p>
  </w:footnote>
  <w:footnote w:type="continuationSeparator" w:id="0">
    <w:p w14:paraId="7062B972" w14:textId="77777777" w:rsidR="00246272" w:rsidRDefault="00246272" w:rsidP="000236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C9F"/>
    <w:multiLevelType w:val="hybridMultilevel"/>
    <w:tmpl w:val="B9BCD52E"/>
    <w:lvl w:ilvl="0" w:tplc="AFDC104C">
      <w:numFmt w:val="bullet"/>
      <w:lvlText w:val="-"/>
      <w:lvlJc w:val="left"/>
      <w:pPr>
        <w:tabs>
          <w:tab w:val="num" w:pos="792"/>
        </w:tabs>
        <w:ind w:left="936" w:hanging="216"/>
      </w:pPr>
      <w:rPr>
        <w:rFonts w:ascii="Arial" w:eastAsia="Times New Roman" w:hAnsi="Arial"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0A3E1D32"/>
    <w:multiLevelType w:val="hybridMultilevel"/>
    <w:tmpl w:val="9782CE4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697ABD"/>
    <w:multiLevelType w:val="hybridMultilevel"/>
    <w:tmpl w:val="ECCA819E"/>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22C9D"/>
    <w:multiLevelType w:val="multilevel"/>
    <w:tmpl w:val="327C0512"/>
    <w:lvl w:ilvl="0">
      <w:numFmt w:val="bullet"/>
      <w:lvlText w:val="-"/>
      <w:lvlJc w:val="left"/>
      <w:pPr>
        <w:tabs>
          <w:tab w:val="num" w:pos="600"/>
        </w:tabs>
        <w:ind w:left="600" w:hanging="360"/>
      </w:pPr>
      <w:rPr>
        <w:rFonts w:ascii="Arial" w:eastAsia="Times New Roman" w:hAnsi="Arial" w:cs="Arial" w:hint="default"/>
      </w:rPr>
    </w:lvl>
    <w:lvl w:ilvl="1">
      <w:start w:val="1"/>
      <w:numFmt w:val="bullet"/>
      <w:lvlText w:val=""/>
      <w:lvlJc w:val="left"/>
      <w:pPr>
        <w:tabs>
          <w:tab w:val="num" w:pos="1320"/>
        </w:tabs>
        <w:ind w:left="1320" w:hanging="360"/>
      </w:pPr>
      <w:rPr>
        <w:rFonts w:ascii="Wingdings" w:hAnsi="Wingdings" w:hint="default"/>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4">
    <w:nsid w:val="123D668B"/>
    <w:multiLevelType w:val="hybridMultilevel"/>
    <w:tmpl w:val="9CCCAC52"/>
    <w:lvl w:ilvl="0" w:tplc="A5E6D2E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74595"/>
    <w:multiLevelType w:val="hybridMultilevel"/>
    <w:tmpl w:val="EFD8DAB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030021"/>
    <w:multiLevelType w:val="hybridMultilevel"/>
    <w:tmpl w:val="298E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C6C7E"/>
    <w:multiLevelType w:val="hybridMultilevel"/>
    <w:tmpl w:val="E7E850A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E6244"/>
    <w:multiLevelType w:val="hybridMultilevel"/>
    <w:tmpl w:val="4B78A3D2"/>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8292C"/>
    <w:multiLevelType w:val="hybridMultilevel"/>
    <w:tmpl w:val="85E890A0"/>
    <w:lvl w:ilvl="0" w:tplc="1BCEF510">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67A5340"/>
    <w:multiLevelType w:val="hybridMultilevel"/>
    <w:tmpl w:val="0554AC88"/>
    <w:lvl w:ilvl="0" w:tplc="9EDE4F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D6444B"/>
    <w:multiLevelType w:val="hybridMultilevel"/>
    <w:tmpl w:val="664CFD46"/>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F2744E"/>
    <w:multiLevelType w:val="multilevel"/>
    <w:tmpl w:val="E3CA7138"/>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1080" w:hanging="36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2A3D2A77"/>
    <w:multiLevelType w:val="hybridMultilevel"/>
    <w:tmpl w:val="A42E2744"/>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6348ED"/>
    <w:multiLevelType w:val="hybridMultilevel"/>
    <w:tmpl w:val="D93A20D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CD6EDB"/>
    <w:multiLevelType w:val="hybridMultilevel"/>
    <w:tmpl w:val="2400877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F13BE2"/>
    <w:multiLevelType w:val="hybridMultilevel"/>
    <w:tmpl w:val="43B03436"/>
    <w:lvl w:ilvl="0" w:tplc="A5E6D2E0">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5D2CC7"/>
    <w:multiLevelType w:val="hybridMultilevel"/>
    <w:tmpl w:val="2CFAE32C"/>
    <w:lvl w:ilvl="0" w:tplc="A5E6D2E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246379"/>
    <w:multiLevelType w:val="hybridMultilevel"/>
    <w:tmpl w:val="E11CA02A"/>
    <w:lvl w:ilvl="0" w:tplc="8A36A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1221E5"/>
    <w:multiLevelType w:val="hybridMultilevel"/>
    <w:tmpl w:val="327C0512"/>
    <w:lvl w:ilvl="0" w:tplc="B6A8E3D6">
      <w:numFmt w:val="bullet"/>
      <w:lvlText w:val="-"/>
      <w:lvlJc w:val="left"/>
      <w:pPr>
        <w:tabs>
          <w:tab w:val="num" w:pos="600"/>
        </w:tabs>
        <w:ind w:left="600" w:hanging="360"/>
      </w:pPr>
      <w:rPr>
        <w:rFonts w:ascii="Arial" w:eastAsia="Times New Roman" w:hAnsi="Arial" w:cs="Arial" w:hint="default"/>
      </w:rPr>
    </w:lvl>
    <w:lvl w:ilvl="1" w:tplc="9EDE4F60">
      <w:start w:val="1"/>
      <w:numFmt w:val="bullet"/>
      <w:lvlText w:val=""/>
      <w:lvlJc w:val="left"/>
      <w:pPr>
        <w:tabs>
          <w:tab w:val="num" w:pos="1320"/>
        </w:tabs>
        <w:ind w:left="1320" w:hanging="360"/>
      </w:pPr>
      <w:rPr>
        <w:rFonts w:ascii="Wingdings" w:hAnsi="Wingdings"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0">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5E722B"/>
    <w:multiLevelType w:val="hybridMultilevel"/>
    <w:tmpl w:val="B8D082D8"/>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2">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F65BFA"/>
    <w:multiLevelType w:val="hybridMultilevel"/>
    <w:tmpl w:val="9A32D8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E9734AA"/>
    <w:multiLevelType w:val="hybridMultilevel"/>
    <w:tmpl w:val="5B842F86"/>
    <w:lvl w:ilvl="0" w:tplc="A5E6D2E0">
      <w:start w:val="1"/>
      <w:numFmt w:val="bullet"/>
      <w:lvlText w:val="-"/>
      <w:lvlJc w:val="left"/>
      <w:pPr>
        <w:tabs>
          <w:tab w:val="num" w:pos="600"/>
        </w:tabs>
        <w:ind w:left="600" w:hanging="360"/>
      </w:pPr>
      <w:rPr>
        <w:rFonts w:ascii="SimSun" w:eastAsia="SimSun" w:hAnsi="SimSun"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2B3523"/>
    <w:multiLevelType w:val="hybridMultilevel"/>
    <w:tmpl w:val="8B42C7B0"/>
    <w:lvl w:ilvl="0" w:tplc="B52849C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3220F0"/>
    <w:multiLevelType w:val="hybridMultilevel"/>
    <w:tmpl w:val="D696FA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B69257A"/>
    <w:multiLevelType w:val="hybridMultilevel"/>
    <w:tmpl w:val="C8667F7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F422F24"/>
    <w:multiLevelType w:val="hybridMultilevel"/>
    <w:tmpl w:val="749E503C"/>
    <w:lvl w:ilvl="0" w:tplc="9238D852">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5F837412"/>
    <w:multiLevelType w:val="hybridMultilevel"/>
    <w:tmpl w:val="4600F70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134FA1"/>
    <w:multiLevelType w:val="hybridMultilevel"/>
    <w:tmpl w:val="283266F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1D51C5"/>
    <w:multiLevelType w:val="multilevel"/>
    <w:tmpl w:val="781A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9850B5"/>
    <w:multiLevelType w:val="hybridMultilevel"/>
    <w:tmpl w:val="DAE03B4A"/>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660FB9"/>
    <w:multiLevelType w:val="hybridMultilevel"/>
    <w:tmpl w:val="CE3A341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025CEC"/>
    <w:multiLevelType w:val="hybridMultilevel"/>
    <w:tmpl w:val="85DA62BC"/>
    <w:lvl w:ilvl="0" w:tplc="8A36A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D02B2A"/>
    <w:multiLevelType w:val="hybridMultilevel"/>
    <w:tmpl w:val="E11CA02A"/>
    <w:lvl w:ilvl="0" w:tplc="8A36A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9C5F06"/>
    <w:multiLevelType w:val="hybridMultilevel"/>
    <w:tmpl w:val="76ECAB48"/>
    <w:lvl w:ilvl="0" w:tplc="A5E6D2E0">
      <w:start w:val="1"/>
      <w:numFmt w:val="bullet"/>
      <w:lvlText w:val="-"/>
      <w:lvlJc w:val="left"/>
      <w:pPr>
        <w:tabs>
          <w:tab w:val="num" w:pos="1152"/>
        </w:tabs>
        <w:ind w:left="1296" w:hanging="216"/>
      </w:pPr>
      <w:rPr>
        <w:rFonts w:ascii="SimSun" w:eastAsia="SimSun" w:hAnsi="SimSun" w:hint="eastAsia"/>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7">
    <w:nsid w:val="7A4D2EB9"/>
    <w:multiLevelType w:val="hybridMultilevel"/>
    <w:tmpl w:val="3514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18451C"/>
    <w:multiLevelType w:val="hybridMultilevel"/>
    <w:tmpl w:val="0B4257DE"/>
    <w:lvl w:ilvl="0" w:tplc="A5E6D2E0">
      <w:start w:val="1"/>
      <w:numFmt w:val="bullet"/>
      <w:lvlText w:val="-"/>
      <w:lvlJc w:val="left"/>
      <w:pPr>
        <w:ind w:left="600" w:hanging="360"/>
      </w:pPr>
      <w:rPr>
        <w:rFonts w:ascii="SimSun" w:eastAsia="SimSun" w:hAnsi="SimSun" w:hint="eastAsia"/>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0"/>
  </w:num>
  <w:num w:numId="2">
    <w:abstractNumId w:val="19"/>
  </w:num>
  <w:num w:numId="3">
    <w:abstractNumId w:val="29"/>
  </w:num>
  <w:num w:numId="4">
    <w:abstractNumId w:val="11"/>
  </w:num>
  <w:num w:numId="5">
    <w:abstractNumId w:val="1"/>
  </w:num>
  <w:num w:numId="6">
    <w:abstractNumId w:val="3"/>
  </w:num>
  <w:num w:numId="7">
    <w:abstractNumId w:val="21"/>
  </w:num>
  <w:num w:numId="8">
    <w:abstractNumId w:val="26"/>
  </w:num>
  <w:num w:numId="9">
    <w:abstractNumId w:val="2"/>
  </w:num>
  <w:num w:numId="10">
    <w:abstractNumId w:val="8"/>
  </w:num>
  <w:num w:numId="11">
    <w:abstractNumId w:val="13"/>
  </w:num>
  <w:num w:numId="12">
    <w:abstractNumId w:val="33"/>
  </w:num>
  <w:num w:numId="13">
    <w:abstractNumId w:val="23"/>
  </w:num>
  <w:num w:numId="14">
    <w:abstractNumId w:val="14"/>
  </w:num>
  <w:num w:numId="15">
    <w:abstractNumId w:val="5"/>
  </w:num>
  <w:num w:numId="16">
    <w:abstractNumId w:val="32"/>
  </w:num>
  <w:num w:numId="17">
    <w:abstractNumId w:val="7"/>
  </w:num>
  <w:num w:numId="18">
    <w:abstractNumId w:val="28"/>
  </w:num>
  <w:num w:numId="19">
    <w:abstractNumId w:val="0"/>
  </w:num>
  <w:num w:numId="20">
    <w:abstractNumId w:val="30"/>
  </w:num>
  <w:num w:numId="21">
    <w:abstractNumId w:val="15"/>
  </w:num>
  <w:num w:numId="22">
    <w:abstractNumId w:val="4"/>
  </w:num>
  <w:num w:numId="23">
    <w:abstractNumId w:val="31"/>
  </w:num>
  <w:num w:numId="24">
    <w:abstractNumId w:val="24"/>
  </w:num>
  <w:num w:numId="25">
    <w:abstractNumId w:val="17"/>
  </w:num>
  <w:num w:numId="26">
    <w:abstractNumId w:val="36"/>
  </w:num>
  <w:num w:numId="27">
    <w:abstractNumId w:val="16"/>
  </w:num>
  <w:num w:numId="28">
    <w:abstractNumId w:val="37"/>
  </w:num>
  <w:num w:numId="29">
    <w:abstractNumId w:val="38"/>
  </w:num>
  <w:num w:numId="30">
    <w:abstractNumId w:val="27"/>
  </w:num>
  <w:num w:numId="31">
    <w:abstractNumId w:val="25"/>
  </w:num>
  <w:num w:numId="32">
    <w:abstractNumId w:val="20"/>
  </w:num>
  <w:num w:numId="33">
    <w:abstractNumId w:val="9"/>
  </w:num>
  <w:num w:numId="34">
    <w:abstractNumId w:val="34"/>
  </w:num>
  <w:num w:numId="35">
    <w:abstractNumId w:val="22"/>
  </w:num>
  <w:num w:numId="36">
    <w:abstractNumId w:val="18"/>
  </w:num>
  <w:num w:numId="37">
    <w:abstractNumId w:val="35"/>
  </w:num>
  <w:num w:numId="38">
    <w:abstractNumId w:val="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061D0"/>
    <w:rsid w:val="0001794F"/>
    <w:rsid w:val="0002368D"/>
    <w:rsid w:val="0002567C"/>
    <w:rsid w:val="00041C71"/>
    <w:rsid w:val="000472DE"/>
    <w:rsid w:val="000550D4"/>
    <w:rsid w:val="00066D44"/>
    <w:rsid w:val="00085658"/>
    <w:rsid w:val="00107495"/>
    <w:rsid w:val="001214FC"/>
    <w:rsid w:val="00142AEC"/>
    <w:rsid w:val="00161D7B"/>
    <w:rsid w:val="00167842"/>
    <w:rsid w:val="001A0C33"/>
    <w:rsid w:val="001B16C5"/>
    <w:rsid w:val="001B32E5"/>
    <w:rsid w:val="001D3A5D"/>
    <w:rsid w:val="001F5A67"/>
    <w:rsid w:val="002108BA"/>
    <w:rsid w:val="00211985"/>
    <w:rsid w:val="00217C81"/>
    <w:rsid w:val="00246272"/>
    <w:rsid w:val="00254B47"/>
    <w:rsid w:val="00255EE0"/>
    <w:rsid w:val="00275B9B"/>
    <w:rsid w:val="00291638"/>
    <w:rsid w:val="00294179"/>
    <w:rsid w:val="002B1E63"/>
    <w:rsid w:val="002B22BD"/>
    <w:rsid w:val="002C4C88"/>
    <w:rsid w:val="002C5095"/>
    <w:rsid w:val="002D0EAF"/>
    <w:rsid w:val="002D53F4"/>
    <w:rsid w:val="002E48D3"/>
    <w:rsid w:val="002E4D48"/>
    <w:rsid w:val="002F5730"/>
    <w:rsid w:val="0030234D"/>
    <w:rsid w:val="00323524"/>
    <w:rsid w:val="0034098C"/>
    <w:rsid w:val="003560A6"/>
    <w:rsid w:val="00360C3D"/>
    <w:rsid w:val="00361927"/>
    <w:rsid w:val="0036331D"/>
    <w:rsid w:val="00377482"/>
    <w:rsid w:val="00380EFB"/>
    <w:rsid w:val="003973AB"/>
    <w:rsid w:val="003A5A18"/>
    <w:rsid w:val="003D4894"/>
    <w:rsid w:val="003F715B"/>
    <w:rsid w:val="00435364"/>
    <w:rsid w:val="0043744F"/>
    <w:rsid w:val="00441346"/>
    <w:rsid w:val="00441CCC"/>
    <w:rsid w:val="00441F09"/>
    <w:rsid w:val="00461F4D"/>
    <w:rsid w:val="00464FB8"/>
    <w:rsid w:val="0046676E"/>
    <w:rsid w:val="004A6680"/>
    <w:rsid w:val="004C2018"/>
    <w:rsid w:val="004C35CD"/>
    <w:rsid w:val="004D201C"/>
    <w:rsid w:val="004D6658"/>
    <w:rsid w:val="004F31E4"/>
    <w:rsid w:val="004F44C0"/>
    <w:rsid w:val="00522143"/>
    <w:rsid w:val="00541486"/>
    <w:rsid w:val="0055532E"/>
    <w:rsid w:val="00562572"/>
    <w:rsid w:val="00563CBA"/>
    <w:rsid w:val="005B19E6"/>
    <w:rsid w:val="005E3715"/>
    <w:rsid w:val="005E6801"/>
    <w:rsid w:val="005F71B6"/>
    <w:rsid w:val="00601112"/>
    <w:rsid w:val="006235C0"/>
    <w:rsid w:val="00650022"/>
    <w:rsid w:val="006536DA"/>
    <w:rsid w:val="00660EE0"/>
    <w:rsid w:val="006841F0"/>
    <w:rsid w:val="006D0A35"/>
    <w:rsid w:val="006E070B"/>
    <w:rsid w:val="006E080C"/>
    <w:rsid w:val="006E181E"/>
    <w:rsid w:val="00706221"/>
    <w:rsid w:val="00715FA6"/>
    <w:rsid w:val="0072583B"/>
    <w:rsid w:val="00733202"/>
    <w:rsid w:val="00733F15"/>
    <w:rsid w:val="00772DA2"/>
    <w:rsid w:val="00783DBD"/>
    <w:rsid w:val="00794561"/>
    <w:rsid w:val="00797ECF"/>
    <w:rsid w:val="007C6C16"/>
    <w:rsid w:val="007F0DD3"/>
    <w:rsid w:val="00814E12"/>
    <w:rsid w:val="0081533E"/>
    <w:rsid w:val="00815E3F"/>
    <w:rsid w:val="00821538"/>
    <w:rsid w:val="00834CC5"/>
    <w:rsid w:val="0085424B"/>
    <w:rsid w:val="0085688F"/>
    <w:rsid w:val="00860B33"/>
    <w:rsid w:val="00865BC9"/>
    <w:rsid w:val="00870121"/>
    <w:rsid w:val="0089487E"/>
    <w:rsid w:val="008B5E43"/>
    <w:rsid w:val="008C5639"/>
    <w:rsid w:val="008D027D"/>
    <w:rsid w:val="00901CBE"/>
    <w:rsid w:val="0090212D"/>
    <w:rsid w:val="00902823"/>
    <w:rsid w:val="00915BD1"/>
    <w:rsid w:val="009224CC"/>
    <w:rsid w:val="00926779"/>
    <w:rsid w:val="00945D7D"/>
    <w:rsid w:val="00953B57"/>
    <w:rsid w:val="0099370D"/>
    <w:rsid w:val="009B6D86"/>
    <w:rsid w:val="009C2946"/>
    <w:rsid w:val="00A15325"/>
    <w:rsid w:val="00A51270"/>
    <w:rsid w:val="00A52C4C"/>
    <w:rsid w:val="00A6025B"/>
    <w:rsid w:val="00A62ECB"/>
    <w:rsid w:val="00A63671"/>
    <w:rsid w:val="00A63910"/>
    <w:rsid w:val="00A73E13"/>
    <w:rsid w:val="00A8328C"/>
    <w:rsid w:val="00AA4B99"/>
    <w:rsid w:val="00AB5B54"/>
    <w:rsid w:val="00AF40AF"/>
    <w:rsid w:val="00AF7BA8"/>
    <w:rsid w:val="00B25BB5"/>
    <w:rsid w:val="00B26FBC"/>
    <w:rsid w:val="00B44C37"/>
    <w:rsid w:val="00B455E7"/>
    <w:rsid w:val="00B541B9"/>
    <w:rsid w:val="00B57B37"/>
    <w:rsid w:val="00B62161"/>
    <w:rsid w:val="00B80B34"/>
    <w:rsid w:val="00B90A5E"/>
    <w:rsid w:val="00BA4C73"/>
    <w:rsid w:val="00BA5D86"/>
    <w:rsid w:val="00BC4C7C"/>
    <w:rsid w:val="00BE341B"/>
    <w:rsid w:val="00BF62D3"/>
    <w:rsid w:val="00C03336"/>
    <w:rsid w:val="00C10DD5"/>
    <w:rsid w:val="00C35832"/>
    <w:rsid w:val="00C437B9"/>
    <w:rsid w:val="00C4486E"/>
    <w:rsid w:val="00C554D5"/>
    <w:rsid w:val="00C5632A"/>
    <w:rsid w:val="00CA04F7"/>
    <w:rsid w:val="00CA45F1"/>
    <w:rsid w:val="00CA478B"/>
    <w:rsid w:val="00CA6A72"/>
    <w:rsid w:val="00CB3698"/>
    <w:rsid w:val="00CB43E7"/>
    <w:rsid w:val="00CE2176"/>
    <w:rsid w:val="00CE5C59"/>
    <w:rsid w:val="00CE6E79"/>
    <w:rsid w:val="00CE7D45"/>
    <w:rsid w:val="00D322B5"/>
    <w:rsid w:val="00D41FD3"/>
    <w:rsid w:val="00D71D70"/>
    <w:rsid w:val="00D97804"/>
    <w:rsid w:val="00DA6FA3"/>
    <w:rsid w:val="00DB27E1"/>
    <w:rsid w:val="00DB27FA"/>
    <w:rsid w:val="00DB38C5"/>
    <w:rsid w:val="00DD7747"/>
    <w:rsid w:val="00DF069F"/>
    <w:rsid w:val="00E10BBB"/>
    <w:rsid w:val="00E27C33"/>
    <w:rsid w:val="00E40B88"/>
    <w:rsid w:val="00E528A0"/>
    <w:rsid w:val="00E52C85"/>
    <w:rsid w:val="00E713C2"/>
    <w:rsid w:val="00E80C7E"/>
    <w:rsid w:val="00E845EF"/>
    <w:rsid w:val="00E95A54"/>
    <w:rsid w:val="00EA41DB"/>
    <w:rsid w:val="00EA609D"/>
    <w:rsid w:val="00EB0CC8"/>
    <w:rsid w:val="00EB3DF6"/>
    <w:rsid w:val="00EE1EE8"/>
    <w:rsid w:val="00EF3BDC"/>
    <w:rsid w:val="00EF7220"/>
    <w:rsid w:val="00F10DB0"/>
    <w:rsid w:val="00F11755"/>
    <w:rsid w:val="00F274F7"/>
    <w:rsid w:val="00F47CE7"/>
    <w:rsid w:val="00F5110C"/>
    <w:rsid w:val="00F53A6A"/>
    <w:rsid w:val="00F6100C"/>
    <w:rsid w:val="00F72718"/>
    <w:rsid w:val="00F738DB"/>
    <w:rsid w:val="00F831E2"/>
    <w:rsid w:val="00F85B65"/>
    <w:rsid w:val="00F915E9"/>
    <w:rsid w:val="00F93266"/>
    <w:rsid w:val="00FB0725"/>
    <w:rsid w:val="00FC2C9A"/>
    <w:rsid w:val="00FE3679"/>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ED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paragraph" w:styleId="Heading1">
    <w:name w:val="heading 1"/>
    <w:basedOn w:val="ListParagraph"/>
    <w:next w:val="Normal"/>
    <w:link w:val="Heading1Char"/>
    <w:qFormat/>
    <w:rsid w:val="00461F4D"/>
    <w:pPr>
      <w:keepNext/>
      <w:numPr>
        <w:numId w:val="39"/>
      </w:numPr>
      <w:shd w:val="clear" w:color="auto" w:fill="DBE5F1" w:themeFill="accent1" w:themeFillTint="33"/>
      <w:spacing w:before="200" w:after="200"/>
      <w:contextualSpacing w:val="0"/>
      <w:outlineLvl w:val="0"/>
    </w:pPr>
    <w:rPr>
      <w:rFonts w:asciiTheme="minorHAnsi" w:hAnsiTheme="minorHAnsi" w:cs="Arial"/>
      <w:b/>
      <w:color w:val="000000"/>
      <w:szCs w:val="22"/>
    </w:rPr>
  </w:style>
  <w:style w:type="paragraph" w:styleId="Heading2">
    <w:name w:val="heading 2"/>
    <w:basedOn w:val="Normal"/>
    <w:next w:val="Normal"/>
    <w:link w:val="Heading2Char"/>
    <w:unhideWhenUsed/>
    <w:qFormat/>
    <w:rsid w:val="00461F4D"/>
    <w:pPr>
      <w:numPr>
        <w:ilvl w:val="1"/>
        <w:numId w:val="39"/>
      </w:numPr>
      <w:ind w:left="360"/>
      <w:outlineLvl w:val="1"/>
    </w:pPr>
    <w:rPr>
      <w:rFonts w:asciiTheme="minorHAnsi" w:eastAsiaTheme="majorEastAsia" w:hAnsiTheme="minorHAnsi" w:cstheme="majorBidi"/>
      <w:b/>
      <w:bCs/>
      <w:sz w:val="22"/>
      <w:szCs w:val="26"/>
    </w:rPr>
  </w:style>
  <w:style w:type="paragraph" w:styleId="Heading3">
    <w:name w:val="heading 3"/>
    <w:basedOn w:val="Normal"/>
    <w:next w:val="Normal"/>
    <w:link w:val="Heading3Char"/>
    <w:unhideWhenUsed/>
    <w:qFormat/>
    <w:rsid w:val="00461F4D"/>
    <w:pPr>
      <w:numPr>
        <w:ilvl w:val="2"/>
        <w:numId w:val="39"/>
      </w:numPr>
      <w:ind w:left="1080"/>
      <w:outlineLvl w:val="2"/>
    </w:pPr>
    <w:rPr>
      <w:rFonts w:asciiTheme="minorHAnsi" w:eastAsiaTheme="majorEastAsia" w:hAnsiTheme="minorHAnsi" w:cstheme="majorBidi"/>
      <w:bCs/>
      <w:sz w:val="22"/>
    </w:rPr>
  </w:style>
  <w:style w:type="paragraph" w:styleId="Heading4">
    <w:name w:val="heading 4"/>
    <w:basedOn w:val="Normal"/>
    <w:next w:val="Normal"/>
    <w:link w:val="Heading4Char"/>
    <w:unhideWhenUsed/>
    <w:qFormat/>
    <w:rsid w:val="00461F4D"/>
    <w:pPr>
      <w:keepNext/>
      <w:keepLines/>
      <w:ind w:left="1440"/>
      <w:outlineLvl w:val="3"/>
    </w:pPr>
    <w:rPr>
      <w:rFonts w:asciiTheme="minorHAnsi" w:eastAsiaTheme="majorEastAsia" w:hAnsiTheme="minorHAnsi" w:cstheme="majorBidi"/>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styleId="CommentReference">
    <w:name w:val="annotation reference"/>
    <w:basedOn w:val="DefaultParagraphFont"/>
    <w:rsid w:val="00361927"/>
    <w:rPr>
      <w:sz w:val="16"/>
      <w:szCs w:val="16"/>
    </w:rPr>
  </w:style>
  <w:style w:type="paragraph" w:styleId="CommentText">
    <w:name w:val="annotation text"/>
    <w:basedOn w:val="Normal"/>
    <w:link w:val="CommentTextChar"/>
    <w:rsid w:val="00361927"/>
    <w:rPr>
      <w:sz w:val="20"/>
      <w:szCs w:val="20"/>
    </w:rPr>
  </w:style>
  <w:style w:type="character" w:customStyle="1" w:styleId="CommentTextChar">
    <w:name w:val="Comment Text Char"/>
    <w:basedOn w:val="DefaultParagraphFont"/>
    <w:link w:val="CommentText"/>
    <w:rsid w:val="00361927"/>
  </w:style>
  <w:style w:type="paragraph" w:styleId="CommentSubject">
    <w:name w:val="annotation subject"/>
    <w:basedOn w:val="CommentText"/>
    <w:next w:val="CommentText"/>
    <w:link w:val="CommentSubjectChar"/>
    <w:rsid w:val="00361927"/>
    <w:rPr>
      <w:b/>
      <w:bCs/>
    </w:rPr>
  </w:style>
  <w:style w:type="character" w:customStyle="1" w:styleId="CommentSubjectChar">
    <w:name w:val="Comment Subject Char"/>
    <w:basedOn w:val="CommentTextChar"/>
    <w:link w:val="CommentSubject"/>
    <w:rsid w:val="00361927"/>
    <w:rPr>
      <w:b/>
      <w:bCs/>
    </w:rPr>
  </w:style>
  <w:style w:type="character" w:customStyle="1" w:styleId="Heading1Char">
    <w:name w:val="Heading 1 Char"/>
    <w:basedOn w:val="DefaultParagraphFont"/>
    <w:link w:val="Heading1"/>
    <w:rsid w:val="00461F4D"/>
    <w:rPr>
      <w:rFonts w:asciiTheme="minorHAnsi" w:hAnsiTheme="minorHAnsi" w:cs="Arial"/>
      <w:b/>
      <w:color w:val="000000"/>
      <w:sz w:val="24"/>
      <w:szCs w:val="22"/>
      <w:shd w:val="clear" w:color="auto" w:fill="DBE5F1" w:themeFill="accent1" w:themeFillTint="33"/>
    </w:rPr>
  </w:style>
  <w:style w:type="paragraph" w:styleId="Header">
    <w:name w:val="header"/>
    <w:basedOn w:val="Normal"/>
    <w:link w:val="HeaderChar"/>
    <w:rsid w:val="0002368D"/>
    <w:pPr>
      <w:tabs>
        <w:tab w:val="center" w:pos="4320"/>
        <w:tab w:val="right" w:pos="8640"/>
      </w:tabs>
    </w:pPr>
  </w:style>
  <w:style w:type="character" w:customStyle="1" w:styleId="HeaderChar">
    <w:name w:val="Header Char"/>
    <w:basedOn w:val="DefaultParagraphFont"/>
    <w:link w:val="Header"/>
    <w:rsid w:val="0002368D"/>
    <w:rPr>
      <w:sz w:val="24"/>
      <w:szCs w:val="24"/>
    </w:rPr>
  </w:style>
  <w:style w:type="paragraph" w:styleId="Footer">
    <w:name w:val="footer"/>
    <w:basedOn w:val="Normal"/>
    <w:link w:val="FooterChar"/>
    <w:rsid w:val="0002368D"/>
    <w:pPr>
      <w:tabs>
        <w:tab w:val="center" w:pos="4320"/>
        <w:tab w:val="right" w:pos="8640"/>
      </w:tabs>
    </w:pPr>
  </w:style>
  <w:style w:type="character" w:customStyle="1" w:styleId="FooterChar">
    <w:name w:val="Footer Char"/>
    <w:basedOn w:val="DefaultParagraphFont"/>
    <w:link w:val="Footer"/>
    <w:rsid w:val="0002368D"/>
    <w:rPr>
      <w:sz w:val="24"/>
      <w:szCs w:val="24"/>
    </w:rPr>
  </w:style>
  <w:style w:type="character" w:styleId="PageNumber">
    <w:name w:val="page number"/>
    <w:basedOn w:val="DefaultParagraphFont"/>
    <w:rsid w:val="0002368D"/>
  </w:style>
  <w:style w:type="character" w:customStyle="1" w:styleId="Heading2Char">
    <w:name w:val="Heading 2 Char"/>
    <w:basedOn w:val="DefaultParagraphFont"/>
    <w:link w:val="Heading2"/>
    <w:rsid w:val="00461F4D"/>
    <w:rPr>
      <w:rFonts w:asciiTheme="minorHAnsi" w:eastAsiaTheme="majorEastAsia" w:hAnsiTheme="minorHAnsi" w:cstheme="majorBidi"/>
      <w:b/>
      <w:bCs/>
      <w:sz w:val="22"/>
      <w:szCs w:val="26"/>
    </w:rPr>
  </w:style>
  <w:style w:type="character" w:customStyle="1" w:styleId="Heading3Char">
    <w:name w:val="Heading 3 Char"/>
    <w:basedOn w:val="DefaultParagraphFont"/>
    <w:link w:val="Heading3"/>
    <w:rsid w:val="00461F4D"/>
    <w:rPr>
      <w:rFonts w:asciiTheme="minorHAnsi" w:eastAsiaTheme="majorEastAsia" w:hAnsiTheme="minorHAnsi" w:cstheme="majorBidi"/>
      <w:bCs/>
      <w:sz w:val="22"/>
      <w:szCs w:val="24"/>
    </w:rPr>
  </w:style>
  <w:style w:type="character" w:customStyle="1" w:styleId="Heading4Char">
    <w:name w:val="Heading 4 Char"/>
    <w:basedOn w:val="DefaultParagraphFont"/>
    <w:link w:val="Heading4"/>
    <w:rsid w:val="00461F4D"/>
    <w:rPr>
      <w:rFonts w:asciiTheme="minorHAnsi" w:eastAsiaTheme="majorEastAsia" w:hAnsiTheme="minorHAnsi" w:cstheme="majorBidi"/>
      <w:bCs/>
      <w:i/>
      <w:iCs/>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paragraph" w:styleId="Heading1">
    <w:name w:val="heading 1"/>
    <w:basedOn w:val="ListParagraph"/>
    <w:next w:val="Normal"/>
    <w:link w:val="Heading1Char"/>
    <w:qFormat/>
    <w:rsid w:val="00461F4D"/>
    <w:pPr>
      <w:keepNext/>
      <w:numPr>
        <w:numId w:val="39"/>
      </w:numPr>
      <w:shd w:val="clear" w:color="auto" w:fill="DBE5F1" w:themeFill="accent1" w:themeFillTint="33"/>
      <w:spacing w:before="200" w:after="200"/>
      <w:contextualSpacing w:val="0"/>
      <w:outlineLvl w:val="0"/>
    </w:pPr>
    <w:rPr>
      <w:rFonts w:asciiTheme="minorHAnsi" w:hAnsiTheme="minorHAnsi" w:cs="Arial"/>
      <w:b/>
      <w:color w:val="000000"/>
      <w:szCs w:val="22"/>
    </w:rPr>
  </w:style>
  <w:style w:type="paragraph" w:styleId="Heading2">
    <w:name w:val="heading 2"/>
    <w:basedOn w:val="Normal"/>
    <w:next w:val="Normal"/>
    <w:link w:val="Heading2Char"/>
    <w:unhideWhenUsed/>
    <w:qFormat/>
    <w:rsid w:val="00461F4D"/>
    <w:pPr>
      <w:numPr>
        <w:ilvl w:val="1"/>
        <w:numId w:val="39"/>
      </w:numPr>
      <w:ind w:left="360"/>
      <w:outlineLvl w:val="1"/>
    </w:pPr>
    <w:rPr>
      <w:rFonts w:asciiTheme="minorHAnsi" w:eastAsiaTheme="majorEastAsia" w:hAnsiTheme="minorHAnsi" w:cstheme="majorBidi"/>
      <w:b/>
      <w:bCs/>
      <w:sz w:val="22"/>
      <w:szCs w:val="26"/>
    </w:rPr>
  </w:style>
  <w:style w:type="paragraph" w:styleId="Heading3">
    <w:name w:val="heading 3"/>
    <w:basedOn w:val="Normal"/>
    <w:next w:val="Normal"/>
    <w:link w:val="Heading3Char"/>
    <w:unhideWhenUsed/>
    <w:qFormat/>
    <w:rsid w:val="00461F4D"/>
    <w:pPr>
      <w:numPr>
        <w:ilvl w:val="2"/>
        <w:numId w:val="39"/>
      </w:numPr>
      <w:ind w:left="1080"/>
      <w:outlineLvl w:val="2"/>
    </w:pPr>
    <w:rPr>
      <w:rFonts w:asciiTheme="minorHAnsi" w:eastAsiaTheme="majorEastAsia" w:hAnsiTheme="minorHAnsi" w:cstheme="majorBidi"/>
      <w:bCs/>
      <w:sz w:val="22"/>
    </w:rPr>
  </w:style>
  <w:style w:type="paragraph" w:styleId="Heading4">
    <w:name w:val="heading 4"/>
    <w:basedOn w:val="Normal"/>
    <w:next w:val="Normal"/>
    <w:link w:val="Heading4Char"/>
    <w:unhideWhenUsed/>
    <w:qFormat/>
    <w:rsid w:val="00461F4D"/>
    <w:pPr>
      <w:keepNext/>
      <w:keepLines/>
      <w:ind w:left="1440"/>
      <w:outlineLvl w:val="3"/>
    </w:pPr>
    <w:rPr>
      <w:rFonts w:asciiTheme="minorHAnsi" w:eastAsiaTheme="majorEastAsia" w:hAnsiTheme="minorHAnsi" w:cstheme="majorBidi"/>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styleId="CommentReference">
    <w:name w:val="annotation reference"/>
    <w:basedOn w:val="DefaultParagraphFont"/>
    <w:rsid w:val="00361927"/>
    <w:rPr>
      <w:sz w:val="16"/>
      <w:szCs w:val="16"/>
    </w:rPr>
  </w:style>
  <w:style w:type="paragraph" w:styleId="CommentText">
    <w:name w:val="annotation text"/>
    <w:basedOn w:val="Normal"/>
    <w:link w:val="CommentTextChar"/>
    <w:rsid w:val="00361927"/>
    <w:rPr>
      <w:sz w:val="20"/>
      <w:szCs w:val="20"/>
    </w:rPr>
  </w:style>
  <w:style w:type="character" w:customStyle="1" w:styleId="CommentTextChar">
    <w:name w:val="Comment Text Char"/>
    <w:basedOn w:val="DefaultParagraphFont"/>
    <w:link w:val="CommentText"/>
    <w:rsid w:val="00361927"/>
  </w:style>
  <w:style w:type="paragraph" w:styleId="CommentSubject">
    <w:name w:val="annotation subject"/>
    <w:basedOn w:val="CommentText"/>
    <w:next w:val="CommentText"/>
    <w:link w:val="CommentSubjectChar"/>
    <w:rsid w:val="00361927"/>
    <w:rPr>
      <w:b/>
      <w:bCs/>
    </w:rPr>
  </w:style>
  <w:style w:type="character" w:customStyle="1" w:styleId="CommentSubjectChar">
    <w:name w:val="Comment Subject Char"/>
    <w:basedOn w:val="CommentTextChar"/>
    <w:link w:val="CommentSubject"/>
    <w:rsid w:val="00361927"/>
    <w:rPr>
      <w:b/>
      <w:bCs/>
    </w:rPr>
  </w:style>
  <w:style w:type="character" w:customStyle="1" w:styleId="Heading1Char">
    <w:name w:val="Heading 1 Char"/>
    <w:basedOn w:val="DefaultParagraphFont"/>
    <w:link w:val="Heading1"/>
    <w:rsid w:val="00461F4D"/>
    <w:rPr>
      <w:rFonts w:asciiTheme="minorHAnsi" w:hAnsiTheme="minorHAnsi" w:cs="Arial"/>
      <w:b/>
      <w:color w:val="000000"/>
      <w:sz w:val="24"/>
      <w:szCs w:val="22"/>
      <w:shd w:val="clear" w:color="auto" w:fill="DBE5F1" w:themeFill="accent1" w:themeFillTint="33"/>
    </w:rPr>
  </w:style>
  <w:style w:type="paragraph" w:styleId="Header">
    <w:name w:val="header"/>
    <w:basedOn w:val="Normal"/>
    <w:link w:val="HeaderChar"/>
    <w:rsid w:val="0002368D"/>
    <w:pPr>
      <w:tabs>
        <w:tab w:val="center" w:pos="4320"/>
        <w:tab w:val="right" w:pos="8640"/>
      </w:tabs>
    </w:pPr>
  </w:style>
  <w:style w:type="character" w:customStyle="1" w:styleId="HeaderChar">
    <w:name w:val="Header Char"/>
    <w:basedOn w:val="DefaultParagraphFont"/>
    <w:link w:val="Header"/>
    <w:rsid w:val="0002368D"/>
    <w:rPr>
      <w:sz w:val="24"/>
      <w:szCs w:val="24"/>
    </w:rPr>
  </w:style>
  <w:style w:type="paragraph" w:styleId="Footer">
    <w:name w:val="footer"/>
    <w:basedOn w:val="Normal"/>
    <w:link w:val="FooterChar"/>
    <w:rsid w:val="0002368D"/>
    <w:pPr>
      <w:tabs>
        <w:tab w:val="center" w:pos="4320"/>
        <w:tab w:val="right" w:pos="8640"/>
      </w:tabs>
    </w:pPr>
  </w:style>
  <w:style w:type="character" w:customStyle="1" w:styleId="FooterChar">
    <w:name w:val="Footer Char"/>
    <w:basedOn w:val="DefaultParagraphFont"/>
    <w:link w:val="Footer"/>
    <w:rsid w:val="0002368D"/>
    <w:rPr>
      <w:sz w:val="24"/>
      <w:szCs w:val="24"/>
    </w:rPr>
  </w:style>
  <w:style w:type="character" w:styleId="PageNumber">
    <w:name w:val="page number"/>
    <w:basedOn w:val="DefaultParagraphFont"/>
    <w:rsid w:val="0002368D"/>
  </w:style>
  <w:style w:type="character" w:customStyle="1" w:styleId="Heading2Char">
    <w:name w:val="Heading 2 Char"/>
    <w:basedOn w:val="DefaultParagraphFont"/>
    <w:link w:val="Heading2"/>
    <w:rsid w:val="00461F4D"/>
    <w:rPr>
      <w:rFonts w:asciiTheme="minorHAnsi" w:eastAsiaTheme="majorEastAsia" w:hAnsiTheme="minorHAnsi" w:cstheme="majorBidi"/>
      <w:b/>
      <w:bCs/>
      <w:sz w:val="22"/>
      <w:szCs w:val="26"/>
    </w:rPr>
  </w:style>
  <w:style w:type="character" w:customStyle="1" w:styleId="Heading3Char">
    <w:name w:val="Heading 3 Char"/>
    <w:basedOn w:val="DefaultParagraphFont"/>
    <w:link w:val="Heading3"/>
    <w:rsid w:val="00461F4D"/>
    <w:rPr>
      <w:rFonts w:asciiTheme="minorHAnsi" w:eastAsiaTheme="majorEastAsia" w:hAnsiTheme="minorHAnsi" w:cstheme="majorBidi"/>
      <w:bCs/>
      <w:sz w:val="22"/>
      <w:szCs w:val="24"/>
    </w:rPr>
  </w:style>
  <w:style w:type="character" w:customStyle="1" w:styleId="Heading4Char">
    <w:name w:val="Heading 4 Char"/>
    <w:basedOn w:val="DefaultParagraphFont"/>
    <w:link w:val="Heading4"/>
    <w:rsid w:val="00461F4D"/>
    <w:rPr>
      <w:rFonts w:asciiTheme="minorHAnsi" w:eastAsiaTheme="majorEastAsia" w:hAnsiTheme="minorHAnsi" w:cstheme="majorBidi"/>
      <w:bCs/>
      <w:i/>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fs.fed.us/emc/rig/protocols/groundwater.s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2414</Words>
  <Characters>13763</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Steve J. Solem</dc:creator>
  <cp:keywords/>
  <cp:lastModifiedBy>Steve Solem</cp:lastModifiedBy>
  <cp:revision>3</cp:revision>
  <cp:lastPrinted>2014-01-27T13:06:00Z</cp:lastPrinted>
  <dcterms:created xsi:type="dcterms:W3CDTF">2014-01-27T13:08:00Z</dcterms:created>
  <dcterms:modified xsi:type="dcterms:W3CDTF">2014-01-27T13:16:00Z</dcterms:modified>
</cp:coreProperties>
</file>