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3A4C" w14:textId="46A63B0F" w:rsidR="00A847AD" w:rsidRPr="00423529" w:rsidRDefault="00E4001F" w:rsidP="003B1929">
      <w:pPr>
        <w:ind w:left="0"/>
        <w:contextualSpacing/>
        <w:jc w:val="center"/>
        <w:rPr>
          <w:rFonts w:eastAsia="Times New Roman"/>
          <w:b/>
        </w:rPr>
      </w:pPr>
      <w:r w:rsidRPr="00423529">
        <w:rPr>
          <w:rFonts w:eastAsia="Times New Roman"/>
          <w:b/>
        </w:rPr>
        <w:t>Bear Gulch</w:t>
      </w:r>
      <w:r w:rsidR="00573273">
        <w:rPr>
          <w:rFonts w:eastAsia="Times New Roman"/>
          <w:b/>
        </w:rPr>
        <w:t xml:space="preserve"> Allotment</w:t>
      </w:r>
      <w:r w:rsidR="00DC6C69" w:rsidRPr="00423529">
        <w:rPr>
          <w:rFonts w:eastAsia="Times New Roman"/>
          <w:b/>
        </w:rPr>
        <w:t xml:space="preserve"> 20</w:t>
      </w:r>
      <w:r w:rsidR="00551D2C" w:rsidRPr="00423529">
        <w:rPr>
          <w:rFonts w:eastAsia="Times New Roman"/>
          <w:b/>
        </w:rPr>
        <w:t>2</w:t>
      </w:r>
      <w:r w:rsidR="00B27959">
        <w:rPr>
          <w:rFonts w:eastAsia="Times New Roman"/>
          <w:b/>
        </w:rPr>
        <w:t>2</w:t>
      </w:r>
      <w:r w:rsidR="00DC6C69" w:rsidRPr="00423529">
        <w:rPr>
          <w:rFonts w:eastAsia="Times New Roman"/>
          <w:b/>
        </w:rPr>
        <w:t xml:space="preserve"> End of Year Report</w:t>
      </w:r>
    </w:p>
    <w:p w14:paraId="5E7E6E51" w14:textId="77777777" w:rsidR="00A847AD" w:rsidRPr="00423529" w:rsidRDefault="00A847AD" w:rsidP="003B1929">
      <w:pPr>
        <w:ind w:left="0"/>
        <w:contextualSpacing/>
        <w:jc w:val="center"/>
      </w:pPr>
    </w:p>
    <w:p w14:paraId="335B0B3E" w14:textId="5531EF8A" w:rsidR="007773F3" w:rsidRPr="00423529" w:rsidRDefault="007773F3" w:rsidP="003B1929">
      <w:pPr>
        <w:ind w:left="0"/>
        <w:contextualSpacing/>
        <w:jc w:val="center"/>
        <w:rPr>
          <w:rFonts w:eastAsia="Times New Roman"/>
          <w:b/>
        </w:rPr>
      </w:pPr>
      <w:r w:rsidRPr="00423529">
        <w:rPr>
          <w:rFonts w:eastAsia="Times New Roman"/>
          <w:b/>
        </w:rPr>
        <w:t xml:space="preserve">NMFS </w:t>
      </w:r>
      <w:r w:rsidR="00DC6C69" w:rsidRPr="00423529">
        <w:rPr>
          <w:rFonts w:eastAsia="Times New Roman"/>
          <w:b/>
        </w:rPr>
        <w:t xml:space="preserve">BO </w:t>
      </w:r>
      <w:r w:rsidR="009D0696" w:rsidRPr="00423529">
        <w:rPr>
          <w:rFonts w:eastAsia="Times New Roman"/>
          <w:b/>
        </w:rPr>
        <w:t xml:space="preserve">No: </w:t>
      </w:r>
      <w:r w:rsidR="00505C16" w:rsidRPr="00423529">
        <w:rPr>
          <w:rFonts w:eastAsia="Times New Roman"/>
          <w:b/>
        </w:rPr>
        <w:t>WCR-2017-7355</w:t>
      </w:r>
    </w:p>
    <w:p w14:paraId="79971E46" w14:textId="77777777" w:rsidR="007773F3" w:rsidRPr="00423529" w:rsidRDefault="007773F3" w:rsidP="003B1929">
      <w:pPr>
        <w:ind w:left="0"/>
        <w:contextualSpacing/>
        <w:jc w:val="center"/>
        <w:rPr>
          <w:rFonts w:eastAsia="Times New Roman"/>
          <w:b/>
        </w:rPr>
      </w:pPr>
    </w:p>
    <w:p w14:paraId="35715CD1" w14:textId="77777777" w:rsidR="007773F3" w:rsidRPr="00423529" w:rsidRDefault="007773F3" w:rsidP="003B1929">
      <w:pPr>
        <w:ind w:left="0"/>
        <w:contextualSpacing/>
        <w:jc w:val="center"/>
        <w:rPr>
          <w:rFonts w:eastAsia="Times New Roman"/>
        </w:rPr>
      </w:pPr>
      <w:r w:rsidRPr="00423529">
        <w:rPr>
          <w:rFonts w:eastAsia="Times New Roman"/>
        </w:rPr>
        <w:t>Wallowa-Whitman National Forest</w:t>
      </w:r>
    </w:p>
    <w:p w14:paraId="59027B4A" w14:textId="77777777" w:rsidR="007773F3" w:rsidRPr="00423529" w:rsidRDefault="007773F3" w:rsidP="003B1929">
      <w:pPr>
        <w:ind w:left="0"/>
        <w:contextualSpacing/>
        <w:jc w:val="center"/>
        <w:rPr>
          <w:rFonts w:eastAsia="Times New Roman"/>
        </w:rPr>
      </w:pPr>
      <w:r w:rsidRPr="00423529">
        <w:rPr>
          <w:rFonts w:eastAsia="Times New Roman"/>
        </w:rPr>
        <w:t>Wallowa Valley Ranger District</w:t>
      </w:r>
    </w:p>
    <w:p w14:paraId="4F40BD05" w14:textId="77777777" w:rsidR="007773F3" w:rsidRPr="00423529" w:rsidRDefault="007773F3" w:rsidP="003B1929">
      <w:pPr>
        <w:contextualSpacing/>
        <w:jc w:val="center"/>
        <w:rPr>
          <w:rFonts w:eastAsia="Times New Roman"/>
          <w:b/>
        </w:rPr>
      </w:pPr>
    </w:p>
    <w:p w14:paraId="01A03B51" w14:textId="72348297" w:rsidR="007773F3" w:rsidRPr="00423529" w:rsidRDefault="00B27959" w:rsidP="003B1929">
      <w:pPr>
        <w:ind w:left="0"/>
        <w:contextualSpacing/>
        <w:jc w:val="center"/>
        <w:rPr>
          <w:rFonts w:eastAsia="Times New Roman"/>
        </w:rPr>
      </w:pPr>
      <w:r>
        <w:rPr>
          <w:rFonts w:eastAsia="Times New Roman"/>
        </w:rPr>
        <w:t>10 May 2023</w:t>
      </w:r>
    </w:p>
    <w:p w14:paraId="3DD19C41" w14:textId="77777777" w:rsidR="003E3C8B" w:rsidRPr="00423529" w:rsidRDefault="003E3C8B" w:rsidP="003B1929">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259FA093" w:rsidR="00A847AD" w:rsidRPr="00423529" w:rsidRDefault="007773F3" w:rsidP="003B1929">
      <w:pPr>
        <w:ind w:left="0"/>
        <w:contextualSpacing/>
      </w:pPr>
      <w:r w:rsidRPr="00423529">
        <w:rPr>
          <w:rStyle w:val="Heading1Char"/>
          <w:rFonts w:ascii="Times New Roman" w:eastAsiaTheme="majorEastAsia" w:hAnsi="Times New Roman"/>
          <w:color w:val="auto"/>
          <w:szCs w:val="24"/>
        </w:rPr>
        <w:t>Introduction:</w:t>
      </w:r>
      <w:bookmarkEnd w:id="0"/>
      <w:bookmarkEnd w:id="1"/>
      <w:r w:rsidRPr="00423529">
        <w:rPr>
          <w:rStyle w:val="Heading1Char"/>
          <w:rFonts w:ascii="Times New Roman" w:eastAsiaTheme="minorHAnsi" w:hAnsi="Times New Roman"/>
          <w:color w:val="auto"/>
          <w:szCs w:val="24"/>
        </w:rPr>
        <w:t xml:space="preserve">  </w:t>
      </w:r>
      <w:r w:rsidR="00DA1E86" w:rsidRPr="00423529">
        <w:t>The purpose of this</w:t>
      </w:r>
      <w:r w:rsidR="00A847AD" w:rsidRPr="00423529">
        <w:t xml:space="preserve"> report is to satisfy </w:t>
      </w:r>
      <w:r w:rsidR="00644047" w:rsidRPr="00423529">
        <w:t>Term</w:t>
      </w:r>
      <w:r w:rsidR="00937E2D" w:rsidRPr="00423529">
        <w:t>s</w:t>
      </w:r>
      <w:r w:rsidR="00644047" w:rsidRPr="00423529">
        <w:t xml:space="preserve"> </w:t>
      </w:r>
      <w:r w:rsidR="00A847AD" w:rsidRPr="00423529">
        <w:t>and Condition</w:t>
      </w:r>
      <w:r w:rsidR="00937E2D" w:rsidRPr="00423529">
        <w:t>s</w:t>
      </w:r>
      <w:r w:rsidR="00A847AD" w:rsidRPr="00423529">
        <w:t xml:space="preserve"> set forth in the Biological Opinion</w:t>
      </w:r>
      <w:r w:rsidR="001E5B50" w:rsidRPr="00423529">
        <w:t xml:space="preserve"> from NMFS</w:t>
      </w:r>
      <w:r w:rsidR="00326DDB" w:rsidRPr="00423529">
        <w:t>,</w:t>
      </w:r>
      <w:r w:rsidR="001E5B50" w:rsidRPr="00423529">
        <w:t xml:space="preserve"> </w:t>
      </w:r>
      <w:r w:rsidR="00BE03D8" w:rsidRPr="00423529">
        <w:t>WCR-2017-7355</w:t>
      </w:r>
      <w:r w:rsidR="00A847AD" w:rsidRPr="00423529">
        <w:t>.</w:t>
      </w:r>
      <w:r w:rsidR="00BE03D8" w:rsidRPr="00423529">
        <w:t xml:space="preserve">  T</w:t>
      </w:r>
      <w:r w:rsidR="002E56B7" w:rsidRPr="00423529">
        <w:t>his report answers directly to each Term and Condition.</w:t>
      </w:r>
      <w:r w:rsidR="00DA1E86" w:rsidRPr="00423529">
        <w:t xml:space="preserve">  </w:t>
      </w:r>
    </w:p>
    <w:p w14:paraId="51F9D66D" w14:textId="77777777" w:rsidR="00A847AD" w:rsidRPr="00423529" w:rsidRDefault="00A847AD" w:rsidP="003B1929">
      <w:pPr>
        <w:ind w:left="0"/>
        <w:contextualSpacing/>
      </w:pPr>
    </w:p>
    <w:p w14:paraId="1652C54D" w14:textId="028B1359" w:rsidR="003F6CF0" w:rsidRPr="00423529" w:rsidRDefault="00074D8A" w:rsidP="003B1929">
      <w:pPr>
        <w:pStyle w:val="ListParagraph"/>
        <w:ind w:left="0"/>
        <w:rPr>
          <w:b/>
        </w:rPr>
      </w:pPr>
      <w:r w:rsidRPr="00423529">
        <w:rPr>
          <w:b/>
        </w:rPr>
        <w:t>Terms and Conditions</w:t>
      </w:r>
    </w:p>
    <w:p w14:paraId="2D9274EC" w14:textId="77777777" w:rsidR="00BE03D8" w:rsidRPr="00423529" w:rsidRDefault="00BE03D8" w:rsidP="003B1929">
      <w:pPr>
        <w:pStyle w:val="ListParagraph"/>
        <w:ind w:left="0"/>
        <w:rPr>
          <w:b/>
        </w:rPr>
      </w:pPr>
    </w:p>
    <w:p w14:paraId="6A12AE09" w14:textId="170C99E5" w:rsidR="003F6CF0" w:rsidRPr="00423529" w:rsidRDefault="003F6CF0" w:rsidP="007256C3">
      <w:pPr>
        <w:pStyle w:val="ListParagraph"/>
        <w:numPr>
          <w:ilvl w:val="0"/>
          <w:numId w:val="1"/>
        </w:numPr>
        <w:ind w:left="360"/>
      </w:pPr>
      <w:r w:rsidRPr="00423529">
        <w:t xml:space="preserve">To implement reasonable and prudent measure </w:t>
      </w:r>
      <w:r w:rsidR="002123FD" w:rsidRPr="00423529">
        <w:t>RPM 1</w:t>
      </w:r>
      <w:r w:rsidRPr="00423529">
        <w:t xml:space="preserve"> (</w:t>
      </w:r>
      <w:r w:rsidR="002123FD" w:rsidRPr="00423529">
        <w:t>minimize take from livestock grazing</w:t>
      </w:r>
      <w:r w:rsidRPr="00423529">
        <w:t>), the WWNF shall:</w:t>
      </w:r>
      <w:r w:rsidR="009B6C72" w:rsidRPr="00423529">
        <w:t xml:space="preserve"> </w:t>
      </w:r>
    </w:p>
    <w:p w14:paraId="79B104A8" w14:textId="77777777" w:rsidR="009B6C72" w:rsidRPr="00423529" w:rsidRDefault="009B6C72" w:rsidP="003B1929">
      <w:pPr>
        <w:pStyle w:val="ListParagraph"/>
        <w:ind w:left="360"/>
      </w:pPr>
    </w:p>
    <w:p w14:paraId="17021AA4" w14:textId="41984678" w:rsidR="003F6CF0" w:rsidRDefault="002123FD" w:rsidP="007256C3">
      <w:pPr>
        <w:pStyle w:val="ListParagraph"/>
        <w:numPr>
          <w:ilvl w:val="1"/>
          <w:numId w:val="1"/>
        </w:numPr>
      </w:pPr>
      <w:r w:rsidRPr="00423529">
        <w:t>Monitor pastures mid-season</w:t>
      </w:r>
      <w:r w:rsidR="005D5918" w:rsidRPr="00423529">
        <w:t xml:space="preserve"> and</w:t>
      </w:r>
      <w:r w:rsidRPr="00423529">
        <w:t xml:space="preserve"> at the </w:t>
      </w:r>
      <w:r w:rsidR="009B6C72" w:rsidRPr="00423529">
        <w:t>end-of-season as described in the Proposed Action.</w:t>
      </w:r>
      <w:r w:rsidR="004B00F5" w:rsidRPr="00423529">
        <w:t xml:space="preserve"> </w:t>
      </w:r>
    </w:p>
    <w:p w14:paraId="09D4471C" w14:textId="77777777" w:rsidR="00223CB4" w:rsidRDefault="00223CB4" w:rsidP="00223CB4">
      <w:pPr>
        <w:pStyle w:val="ListParagraph"/>
      </w:pPr>
    </w:p>
    <w:p w14:paraId="375FDEA1" w14:textId="2099A694" w:rsidR="00223CB4" w:rsidRPr="00223CB4" w:rsidRDefault="00223CB4" w:rsidP="00223CB4">
      <w:pPr>
        <w:pStyle w:val="ListParagraph"/>
        <w:rPr>
          <w:u w:val="single"/>
        </w:rPr>
      </w:pPr>
      <w:r w:rsidRPr="00223CB4">
        <w:rPr>
          <w:u w:val="single"/>
        </w:rPr>
        <w:t>Mid-Season Monitoring:</w:t>
      </w:r>
    </w:p>
    <w:p w14:paraId="03D50647" w14:textId="328C2CBE" w:rsidR="00B27959" w:rsidRDefault="008B3F08" w:rsidP="004F3B99">
      <w:pPr>
        <w:pStyle w:val="Default"/>
        <w:numPr>
          <w:ilvl w:val="0"/>
          <w:numId w:val="3"/>
        </w:numPr>
      </w:pPr>
      <w:r w:rsidRPr="00B27959">
        <w:rPr>
          <w:color w:val="auto"/>
        </w:rPr>
        <w:t>M</w:t>
      </w:r>
      <w:r w:rsidR="0039094B" w:rsidRPr="00B27959">
        <w:rPr>
          <w:color w:val="auto"/>
        </w:rPr>
        <w:t xml:space="preserve">id-season monitoring was </w:t>
      </w:r>
      <w:r w:rsidR="00C20E70" w:rsidRPr="00B27959">
        <w:rPr>
          <w:color w:val="auto"/>
        </w:rPr>
        <w:t xml:space="preserve">not </w:t>
      </w:r>
      <w:r w:rsidR="0039094B" w:rsidRPr="00B27959">
        <w:rPr>
          <w:color w:val="auto"/>
        </w:rPr>
        <w:t>completed</w:t>
      </w:r>
      <w:r w:rsidR="00B27959">
        <w:rPr>
          <w:color w:val="auto"/>
        </w:rPr>
        <w:t>.</w:t>
      </w:r>
    </w:p>
    <w:p w14:paraId="34EFEB20" w14:textId="77777777" w:rsidR="004F3B99" w:rsidRPr="004F3B99" w:rsidRDefault="004F3B99" w:rsidP="00B27959">
      <w:pPr>
        <w:pStyle w:val="Default"/>
        <w:ind w:left="1080"/>
      </w:pPr>
      <w:bookmarkStart w:id="2" w:name="_Hlk60917290"/>
    </w:p>
    <w:p w14:paraId="4C66369C" w14:textId="246A7D3F" w:rsidR="0098377F" w:rsidRPr="004F3B99" w:rsidRDefault="004F3B99" w:rsidP="004F3B99">
      <w:pPr>
        <w:pStyle w:val="Default"/>
        <w:ind w:left="720"/>
        <w:rPr>
          <w:u w:val="single"/>
        </w:rPr>
      </w:pPr>
      <w:r w:rsidRPr="004F3B99">
        <w:rPr>
          <w:color w:val="auto"/>
          <w:u w:val="single"/>
        </w:rPr>
        <w:t>End of Season Monitoring:</w:t>
      </w:r>
      <w:r w:rsidR="0092104F" w:rsidRPr="004F3B99">
        <w:rPr>
          <w:color w:val="auto"/>
          <w:u w:val="single"/>
        </w:rPr>
        <w:t xml:space="preserve"> </w:t>
      </w:r>
    </w:p>
    <w:bookmarkEnd w:id="2"/>
    <w:p w14:paraId="5629A221" w14:textId="0D9C63FC" w:rsidR="0039094B" w:rsidRDefault="00B27959" w:rsidP="007256C3">
      <w:pPr>
        <w:pStyle w:val="ListParagraph"/>
        <w:numPr>
          <w:ilvl w:val="0"/>
          <w:numId w:val="3"/>
        </w:numPr>
      </w:pPr>
      <w:r>
        <w:t>End of season monitoring was completed in the Deadhorse Pasture at the Bear Gulch DMA on 02 September 2022.</w:t>
      </w:r>
    </w:p>
    <w:p w14:paraId="5074FBEC" w14:textId="77777777" w:rsidR="008C2351" w:rsidRDefault="008C2351" w:rsidP="004B4065">
      <w:pPr>
        <w:pStyle w:val="ListParagraph"/>
        <w:ind w:left="1080"/>
      </w:pPr>
    </w:p>
    <w:p w14:paraId="065D1164" w14:textId="7E85AFF9" w:rsidR="008C2351" w:rsidRDefault="004B4065" w:rsidP="004B4065">
      <w:pPr>
        <w:contextualSpacing/>
      </w:pPr>
      <w:r w:rsidRPr="00423529">
        <w:rPr>
          <w:b/>
        </w:rPr>
        <w:t>Table 1</w:t>
      </w:r>
      <w:r w:rsidRPr="00423529">
        <w:t>.  Bear Gulch steelhead spawning habitat accessible to livestock before July 1</w:t>
      </w:r>
    </w:p>
    <w:tbl>
      <w:tblPr>
        <w:tblStyle w:val="TableGrid"/>
        <w:tblW w:w="0" w:type="auto"/>
        <w:tblLayout w:type="fixed"/>
        <w:tblLook w:val="04A0" w:firstRow="1" w:lastRow="0" w:firstColumn="1" w:lastColumn="0" w:noHBand="0" w:noVBand="1"/>
      </w:tblPr>
      <w:tblGrid>
        <w:gridCol w:w="2337"/>
        <w:gridCol w:w="2337"/>
        <w:gridCol w:w="2338"/>
        <w:gridCol w:w="2338"/>
      </w:tblGrid>
      <w:tr w:rsidR="008C2351" w14:paraId="3930F11D" w14:textId="77777777" w:rsidTr="00B27959">
        <w:tc>
          <w:tcPr>
            <w:tcW w:w="2337" w:type="dxa"/>
            <w:vAlign w:val="center"/>
          </w:tcPr>
          <w:p w14:paraId="04C64125" w14:textId="426761FB" w:rsidR="008C2351" w:rsidRDefault="008C2351" w:rsidP="008C2351">
            <w:pPr>
              <w:ind w:left="0"/>
              <w:contextualSpacing/>
            </w:pPr>
            <w:r w:rsidRPr="008C2351">
              <w:t>Pasture</w:t>
            </w:r>
          </w:p>
        </w:tc>
        <w:tc>
          <w:tcPr>
            <w:tcW w:w="2337" w:type="dxa"/>
            <w:vAlign w:val="center"/>
          </w:tcPr>
          <w:p w14:paraId="44BDE283" w14:textId="1326B227" w:rsidR="008C2351" w:rsidRDefault="008C2351" w:rsidP="008C2351">
            <w:pPr>
              <w:ind w:left="0"/>
              <w:contextualSpacing/>
            </w:pPr>
            <w:r w:rsidRPr="00175FF5">
              <w:t>DMA</w:t>
            </w:r>
          </w:p>
        </w:tc>
        <w:tc>
          <w:tcPr>
            <w:tcW w:w="2338" w:type="dxa"/>
            <w:vAlign w:val="center"/>
          </w:tcPr>
          <w:p w14:paraId="43A78CAA" w14:textId="4E8D3F16" w:rsidR="008C2351" w:rsidRDefault="008C2351" w:rsidP="008C2351">
            <w:pPr>
              <w:ind w:left="0"/>
              <w:contextualSpacing/>
            </w:pPr>
            <w:r w:rsidRPr="00175FF5">
              <w:t>Location</w:t>
            </w:r>
          </w:p>
        </w:tc>
        <w:tc>
          <w:tcPr>
            <w:tcW w:w="2338" w:type="dxa"/>
            <w:vAlign w:val="center"/>
          </w:tcPr>
          <w:p w14:paraId="0DCC1DC4" w14:textId="1BB9FC52" w:rsidR="008C2351" w:rsidRDefault="008C2351" w:rsidP="008C2351">
            <w:pPr>
              <w:ind w:left="0"/>
              <w:contextualSpacing/>
            </w:pPr>
            <w:r w:rsidRPr="00175FF5">
              <w:t>Stream</w:t>
            </w:r>
          </w:p>
        </w:tc>
      </w:tr>
      <w:tr w:rsidR="008C2351" w14:paraId="4A6BBDE6" w14:textId="77777777" w:rsidTr="00B27959">
        <w:tc>
          <w:tcPr>
            <w:tcW w:w="2337" w:type="dxa"/>
            <w:vAlign w:val="center"/>
          </w:tcPr>
          <w:p w14:paraId="64FA6F06" w14:textId="49119AA6" w:rsidR="008C2351" w:rsidRDefault="008C2351" w:rsidP="008C2351">
            <w:pPr>
              <w:ind w:left="0"/>
              <w:contextualSpacing/>
            </w:pPr>
            <w:r w:rsidRPr="00175FF5">
              <w:t>Lower Bear Gulch</w:t>
            </w:r>
          </w:p>
        </w:tc>
        <w:tc>
          <w:tcPr>
            <w:tcW w:w="2337" w:type="dxa"/>
          </w:tcPr>
          <w:p w14:paraId="76822154" w14:textId="4366A95F" w:rsidR="008C2351" w:rsidRDefault="008C2351" w:rsidP="008C2351">
            <w:pPr>
              <w:ind w:left="0"/>
              <w:contextualSpacing/>
            </w:pPr>
            <w:r w:rsidRPr="00175FF5">
              <w:t>K8A Bear Gulch DMA</w:t>
            </w:r>
          </w:p>
        </w:tc>
        <w:tc>
          <w:tcPr>
            <w:tcW w:w="2338" w:type="dxa"/>
            <w:vAlign w:val="center"/>
          </w:tcPr>
          <w:p w14:paraId="79457FC9" w14:textId="547C7DE6" w:rsidR="008C2351" w:rsidRDefault="008C2351" w:rsidP="008C2351">
            <w:pPr>
              <w:ind w:left="0"/>
              <w:contextualSpacing/>
            </w:pPr>
            <w:r w:rsidRPr="00175FF5">
              <w:t>UTM 11T 508064/5036623</w:t>
            </w:r>
          </w:p>
        </w:tc>
        <w:tc>
          <w:tcPr>
            <w:tcW w:w="2338" w:type="dxa"/>
            <w:vAlign w:val="center"/>
          </w:tcPr>
          <w:p w14:paraId="7A442DFD" w14:textId="46F6B8F8" w:rsidR="008C2351" w:rsidRDefault="008C2351" w:rsidP="008C2351">
            <w:pPr>
              <w:ind w:left="0"/>
              <w:contextualSpacing/>
            </w:pPr>
            <w:r w:rsidRPr="00175FF5">
              <w:t>Bear Gulch</w:t>
            </w:r>
          </w:p>
        </w:tc>
      </w:tr>
      <w:tr w:rsidR="008C2351" w14:paraId="0BEE6151" w14:textId="77777777" w:rsidTr="00B27959">
        <w:tc>
          <w:tcPr>
            <w:tcW w:w="2337" w:type="dxa"/>
          </w:tcPr>
          <w:p w14:paraId="7196D217" w14:textId="0222E8D3" w:rsidR="008C2351" w:rsidRDefault="008C2351" w:rsidP="008C2351">
            <w:pPr>
              <w:ind w:left="0"/>
              <w:contextualSpacing/>
            </w:pPr>
            <w:r w:rsidRPr="00175FF5">
              <w:t>Deadhorse</w:t>
            </w:r>
          </w:p>
        </w:tc>
        <w:tc>
          <w:tcPr>
            <w:tcW w:w="2337" w:type="dxa"/>
          </w:tcPr>
          <w:p w14:paraId="4206C1BA" w14:textId="104A9B41" w:rsidR="008C2351" w:rsidRDefault="008C2351" w:rsidP="008C2351">
            <w:pPr>
              <w:ind w:left="0"/>
              <w:contextualSpacing/>
            </w:pPr>
            <w:r w:rsidRPr="00175FF5">
              <w:t>K7A Bear Gulch DMA</w:t>
            </w:r>
          </w:p>
        </w:tc>
        <w:tc>
          <w:tcPr>
            <w:tcW w:w="2338" w:type="dxa"/>
            <w:vAlign w:val="center"/>
          </w:tcPr>
          <w:p w14:paraId="1842E2B3" w14:textId="1932D3BA" w:rsidR="008C2351" w:rsidRDefault="008C2351" w:rsidP="008C2351">
            <w:pPr>
              <w:ind w:left="0"/>
              <w:contextualSpacing/>
            </w:pPr>
            <w:r w:rsidRPr="00175FF5">
              <w:t xml:space="preserve"> UTM 11T 505084/5028060</w:t>
            </w:r>
          </w:p>
        </w:tc>
        <w:tc>
          <w:tcPr>
            <w:tcW w:w="2338" w:type="dxa"/>
          </w:tcPr>
          <w:p w14:paraId="58FFB69B" w14:textId="3289640A" w:rsidR="008C2351" w:rsidRDefault="008C2351" w:rsidP="008C2351">
            <w:pPr>
              <w:ind w:left="0"/>
              <w:contextualSpacing/>
            </w:pPr>
            <w:r w:rsidRPr="00175FF5">
              <w:t>Bear Gulc</w:t>
            </w:r>
            <w:r w:rsidR="000A4C23">
              <w:t>h</w:t>
            </w:r>
          </w:p>
        </w:tc>
      </w:tr>
    </w:tbl>
    <w:p w14:paraId="19E4691D" w14:textId="77777777" w:rsidR="00A41D2B" w:rsidRPr="00423529" w:rsidRDefault="00A41D2B" w:rsidP="00B27959">
      <w:pPr>
        <w:contextualSpacing/>
      </w:pPr>
    </w:p>
    <w:p w14:paraId="435E9D51" w14:textId="77777777" w:rsidR="004B4065" w:rsidRDefault="004B4065" w:rsidP="004B4065">
      <w:pPr>
        <w:pStyle w:val="Default"/>
      </w:pPr>
    </w:p>
    <w:p w14:paraId="08214E87" w14:textId="7E5FFC4A" w:rsidR="004F3B99" w:rsidRPr="00223CB4" w:rsidRDefault="00E12C9E" w:rsidP="004F3B99">
      <w:pPr>
        <w:pStyle w:val="Default"/>
        <w:ind w:left="720"/>
        <w:rPr>
          <w:u w:val="single"/>
        </w:rPr>
      </w:pPr>
      <w:r w:rsidRPr="00423529">
        <w:t xml:space="preserve"> </w:t>
      </w:r>
      <w:r w:rsidR="004F3B99" w:rsidRPr="00223CB4">
        <w:rPr>
          <w:color w:val="auto"/>
          <w:u w:val="single"/>
        </w:rPr>
        <w:t>Effectiveness (Long-</w:t>
      </w:r>
      <w:r w:rsidR="004F3B99" w:rsidRPr="00223CB4">
        <w:rPr>
          <w:u w:val="single"/>
        </w:rPr>
        <w:t>Term) Monitoring:</w:t>
      </w:r>
    </w:p>
    <w:p w14:paraId="4360CA4A" w14:textId="14853AD5" w:rsidR="00A96393" w:rsidRPr="00B27959" w:rsidRDefault="004F3B99" w:rsidP="003B1929">
      <w:pPr>
        <w:pStyle w:val="Default"/>
        <w:numPr>
          <w:ilvl w:val="0"/>
          <w:numId w:val="3"/>
        </w:numPr>
        <w:ind w:left="720"/>
        <w:contextualSpacing/>
      </w:pPr>
      <w:r w:rsidRPr="00423529">
        <w:rPr>
          <w:color w:val="auto"/>
        </w:rPr>
        <w:t xml:space="preserve">Effectiveness monitoring was </w:t>
      </w:r>
      <w:r>
        <w:rPr>
          <w:color w:val="auto"/>
        </w:rPr>
        <w:t>completed</w:t>
      </w:r>
      <w:r w:rsidRPr="00423529">
        <w:rPr>
          <w:color w:val="auto"/>
        </w:rPr>
        <w:t xml:space="preserve"> in the Lower Bear Gulch Pasture, Bear Gulch </w:t>
      </w:r>
      <w:r>
        <w:rPr>
          <w:color w:val="auto"/>
        </w:rPr>
        <w:t>stream</w:t>
      </w:r>
      <w:r w:rsidRPr="00423529">
        <w:rPr>
          <w:color w:val="auto"/>
        </w:rPr>
        <w:t xml:space="preserve"> on June 22, 2020.</w:t>
      </w:r>
      <w:r>
        <w:rPr>
          <w:color w:val="auto"/>
        </w:rPr>
        <w:t xml:space="preserve">  </w:t>
      </w:r>
    </w:p>
    <w:p w14:paraId="562EAF48" w14:textId="77777777" w:rsidR="00B27959" w:rsidRPr="00423529" w:rsidRDefault="00B27959" w:rsidP="00B27959">
      <w:pPr>
        <w:pStyle w:val="Default"/>
        <w:ind w:left="720"/>
        <w:contextualSpacing/>
      </w:pPr>
    </w:p>
    <w:p w14:paraId="63EC66ED" w14:textId="6987664C" w:rsidR="009D0696" w:rsidRDefault="008E5989" w:rsidP="007256C3">
      <w:pPr>
        <w:pStyle w:val="ListParagraph"/>
        <w:numPr>
          <w:ilvl w:val="1"/>
          <w:numId w:val="1"/>
        </w:numPr>
      </w:pPr>
      <w:r w:rsidRPr="00423529">
        <w:t>Monitor streambank alteration levels, at the DMA sites which the WWNF staff has proposed for each pasture</w:t>
      </w:r>
      <w:r w:rsidR="00836983" w:rsidRPr="00423529">
        <w:t>.</w:t>
      </w:r>
    </w:p>
    <w:p w14:paraId="0A6C6142" w14:textId="77777777" w:rsidR="000C39E6" w:rsidRPr="00423529" w:rsidRDefault="000C39E6" w:rsidP="000C39E6">
      <w:pPr>
        <w:pStyle w:val="ListParagraph"/>
      </w:pPr>
    </w:p>
    <w:p w14:paraId="0E45C1FB" w14:textId="17E6D19F" w:rsidR="008B3F08" w:rsidRPr="00423529" w:rsidRDefault="008B3F08" w:rsidP="007256C3">
      <w:pPr>
        <w:pStyle w:val="ListParagraph"/>
        <w:numPr>
          <w:ilvl w:val="0"/>
          <w:numId w:val="3"/>
        </w:numPr>
      </w:pPr>
      <w:r w:rsidRPr="00423529">
        <w:t xml:space="preserve">Bank alteration was monitored in the Deadhorse pasture. </w:t>
      </w:r>
      <w:r w:rsidR="000C39E6">
        <w:t xml:space="preserve">Bank alteration was below </w:t>
      </w:r>
      <w:r w:rsidR="0038418F">
        <w:t xml:space="preserve">20%. </w:t>
      </w:r>
      <w:r w:rsidRPr="00423529">
        <w:t xml:space="preserve"> The results are </w:t>
      </w:r>
      <w:r w:rsidR="006323CF">
        <w:t>shown</w:t>
      </w:r>
      <w:r w:rsidRPr="00423529">
        <w:t xml:space="preserve"> in term 2. ii</w:t>
      </w:r>
      <w:r w:rsidR="00A2083C">
        <w:t>, Table 4</w:t>
      </w:r>
      <w:r w:rsidRPr="00423529">
        <w:t xml:space="preserve">.  </w:t>
      </w:r>
    </w:p>
    <w:p w14:paraId="6BFD8065" w14:textId="3B678AD4" w:rsidR="00E454B8" w:rsidRPr="00423529" w:rsidRDefault="00E454B8" w:rsidP="008B3F08"/>
    <w:p w14:paraId="31F6668B" w14:textId="4A1A6B9E" w:rsidR="008E5989" w:rsidRDefault="008E5989" w:rsidP="007256C3">
      <w:pPr>
        <w:pStyle w:val="ListParagraph"/>
        <w:numPr>
          <w:ilvl w:val="1"/>
          <w:numId w:val="1"/>
        </w:numPr>
      </w:pPr>
      <w:r w:rsidRPr="00423529">
        <w:lastRenderedPageBreak/>
        <w:t>The WWNF shall ensure all enclosures, fences, and water developments that reduce cattle use adjacent to streams are properly maintained and functioning as intended.</w:t>
      </w:r>
    </w:p>
    <w:p w14:paraId="729F6D21" w14:textId="77777777" w:rsidR="00B66AF7" w:rsidRPr="00423529" w:rsidRDefault="00B66AF7" w:rsidP="00B66AF7">
      <w:pPr>
        <w:pStyle w:val="ListParagraph"/>
      </w:pPr>
    </w:p>
    <w:p w14:paraId="41CA2941" w14:textId="7FAA7A15" w:rsidR="001B3F23" w:rsidRPr="00423529" w:rsidRDefault="001B3F23" w:rsidP="007256C3">
      <w:pPr>
        <w:pStyle w:val="ListParagraph"/>
        <w:numPr>
          <w:ilvl w:val="0"/>
          <w:numId w:val="4"/>
        </w:numPr>
      </w:pPr>
      <w:r w:rsidRPr="00423529">
        <w:t xml:space="preserve">No riparian enclosures </w:t>
      </w:r>
      <w:r w:rsidR="00B66AF7">
        <w:t>are within</w:t>
      </w:r>
      <w:r w:rsidRPr="00423529">
        <w:t xml:space="preserve"> this allotment</w:t>
      </w:r>
      <w:r w:rsidR="00B66AF7">
        <w:t>.</w:t>
      </w:r>
    </w:p>
    <w:p w14:paraId="59484B0D" w14:textId="54DFE769" w:rsidR="00412427" w:rsidRDefault="001B3F23" w:rsidP="002432B1">
      <w:pPr>
        <w:pStyle w:val="ListParagraph"/>
        <w:numPr>
          <w:ilvl w:val="0"/>
          <w:numId w:val="4"/>
        </w:numPr>
      </w:pPr>
      <w:r w:rsidRPr="00423529">
        <w:t>Main</w:t>
      </w:r>
      <w:r w:rsidR="00BC060B" w:rsidRPr="00423529">
        <w:t>tenance on water developments is</w:t>
      </w:r>
      <w:r w:rsidRPr="00423529">
        <w:t xml:space="preserve"> ongoing.</w:t>
      </w:r>
      <w:r w:rsidR="00A4724D">
        <w:t xml:space="preserve">  From the Big Sheep Divide Range </w:t>
      </w:r>
      <w:r w:rsidR="00303B85">
        <w:t>Analysis</w:t>
      </w:r>
      <w:r w:rsidR="00A4724D">
        <w:t xml:space="preserve"> Decision Memo-Develop watering site in Lower Bear Gulch pasture, piping water from Rattlesnake springs </w:t>
      </w:r>
      <w:r w:rsidR="000B4C1E">
        <w:t xml:space="preserve">to this pasture.  This will aid in cattle distribution.  </w:t>
      </w:r>
    </w:p>
    <w:p w14:paraId="22FB5A81" w14:textId="77777777" w:rsidR="00A63711" w:rsidRPr="00423529" w:rsidRDefault="00A63711" w:rsidP="00A63711">
      <w:pPr>
        <w:pStyle w:val="ListParagraph"/>
        <w:ind w:left="1080"/>
      </w:pPr>
    </w:p>
    <w:p w14:paraId="683F7C00" w14:textId="3157D4B9" w:rsidR="004E20C9" w:rsidRDefault="008E5989" w:rsidP="007256C3">
      <w:pPr>
        <w:pStyle w:val="ListParagraph"/>
        <w:numPr>
          <w:ilvl w:val="1"/>
          <w:numId w:val="1"/>
        </w:numPr>
      </w:pPr>
      <w:r w:rsidRPr="00423529">
        <w:t>The WWNF shall use the Long-Term and Annual Adaptive Management Strategies described in the Proposed Action to adjust grazing management str</w:t>
      </w:r>
      <w:r w:rsidR="002339AC" w:rsidRPr="00423529">
        <w:t>ategies</w:t>
      </w:r>
      <w:r w:rsidRPr="00423529">
        <w:t xml:space="preserve"> when needed to maintain desired stream habitat conditions and minimize incidental take. </w:t>
      </w:r>
    </w:p>
    <w:p w14:paraId="11887B7A" w14:textId="3BF5A8A0" w:rsidR="008A0086" w:rsidRDefault="008A0086" w:rsidP="008A0086">
      <w:pPr>
        <w:pStyle w:val="ListParagraph"/>
      </w:pPr>
    </w:p>
    <w:p w14:paraId="5A52C988" w14:textId="30BA7366" w:rsidR="008A0086" w:rsidRDefault="008A0086" w:rsidP="008A0086">
      <w:pPr>
        <w:pStyle w:val="ListParagraph"/>
        <w:numPr>
          <w:ilvl w:val="0"/>
          <w:numId w:val="10"/>
        </w:numPr>
      </w:pPr>
      <w:r>
        <w:t xml:space="preserve">Long-term strategy currently, is the placement of </w:t>
      </w:r>
      <w:r w:rsidR="00865961">
        <w:t>DMAs</w:t>
      </w:r>
      <w:r>
        <w:t xml:space="preserve"> on the allotment to determine riparian health, </w:t>
      </w:r>
      <w:r w:rsidR="00865961">
        <w:t>condition,</w:t>
      </w:r>
      <w:r>
        <w:t xml:space="preserve"> and trend toward or away from desired conditions.</w:t>
      </w:r>
      <w:r w:rsidR="00825698">
        <w:t xml:space="preserve">  Reading will occur every 5 years.</w:t>
      </w:r>
      <w:r>
        <w:t xml:space="preserve"> Annual monitoring can help to explain changes in trend over time. </w:t>
      </w:r>
      <w:r w:rsidR="00F0165C">
        <w:t>In Table 5 and Table 6 below, the standout indicators are bank stability and cover.  Lower Bear Gulch and Deadhorse pastures are not meeting objectives</w:t>
      </w:r>
      <w:r w:rsidR="003F4208">
        <w:t xml:space="preserve"> in these indicators</w:t>
      </w:r>
      <w:r w:rsidR="00F0165C">
        <w:t xml:space="preserve">. </w:t>
      </w:r>
      <w:r w:rsidR="003F4208">
        <w:t xml:space="preserve">Actions to take would </w:t>
      </w:r>
      <w:r w:rsidR="00A927E5">
        <w:t>include</w:t>
      </w:r>
      <w:r w:rsidR="003F4208">
        <w:t xml:space="preserve"> shorter time in pastures, use of trigger monitoring to aid in timing of pasture moves. Changes to season of use to reduce time livestock spend in riparian areas.  Terrain is difficult, funneling livestock to spend the season of use in the riparian bottoms. </w:t>
      </w:r>
    </w:p>
    <w:p w14:paraId="4315B450" w14:textId="77777777" w:rsidR="003F4208" w:rsidRDefault="003F4208" w:rsidP="003F4208">
      <w:pPr>
        <w:pStyle w:val="ListParagraph"/>
        <w:ind w:left="1080"/>
      </w:pPr>
    </w:p>
    <w:p w14:paraId="3ADAE696" w14:textId="72402665" w:rsidR="008A0086" w:rsidRDefault="003F4208" w:rsidP="008227D6">
      <w:pPr>
        <w:pStyle w:val="ListParagraph"/>
        <w:numPr>
          <w:ilvl w:val="0"/>
          <w:numId w:val="10"/>
        </w:numPr>
      </w:pPr>
      <w:r>
        <w:t>Annual strategies applied are trigger monitoring</w:t>
      </w:r>
      <w:r w:rsidR="00D71DB7">
        <w:t xml:space="preserve"> with the permittee</w:t>
      </w:r>
      <w:r>
        <w:t xml:space="preserve"> on </w:t>
      </w:r>
      <w:r w:rsidR="00A927E5">
        <w:t>DMAs</w:t>
      </w:r>
      <w:r>
        <w:t xml:space="preserve"> to determine greenline stubble height and bank alteration.  </w:t>
      </w:r>
      <w:r w:rsidR="00D71DB7">
        <w:t xml:space="preserve">End of Season monitoring timing is </w:t>
      </w:r>
      <w:r w:rsidR="00A927E5">
        <w:t>critical</w:t>
      </w:r>
      <w:r w:rsidR="00D71DB7">
        <w:t xml:space="preserve"> to get a clear measure of what indicator is not being met.  The data below shows bank alteration is being met. Stubble height was slightly below the 6-inch standard in Deadhorse.  Late fall visits to the Allotment may reveal livestock have returned to the pasture after the </w:t>
      </w:r>
      <w:r w:rsidR="00825698">
        <w:t xml:space="preserve">pasture </w:t>
      </w:r>
      <w:r w:rsidR="00D71DB7">
        <w:t>off date.  Moving all livestock from the pasture and periodic inspections</w:t>
      </w:r>
      <w:r w:rsidR="00825698">
        <w:t xml:space="preserve"> for strays</w:t>
      </w:r>
      <w:r w:rsidR="00D71DB7">
        <w:t xml:space="preserve"> would aid </w:t>
      </w:r>
      <w:r w:rsidR="00825698">
        <w:t>in meeting objectives</w:t>
      </w:r>
      <w:r w:rsidR="00D71DB7">
        <w:t xml:space="preserve">.  </w:t>
      </w:r>
    </w:p>
    <w:p w14:paraId="22CA1946" w14:textId="17A068A3" w:rsidR="0041694A" w:rsidRPr="00423529" w:rsidRDefault="008E5989" w:rsidP="008227D6">
      <w:pPr>
        <w:ind w:left="0"/>
      </w:pPr>
      <w:r w:rsidRPr="00423529">
        <w:t xml:space="preserve"> </w:t>
      </w:r>
    </w:p>
    <w:p w14:paraId="00A02A1A" w14:textId="012AFFF9" w:rsidR="00FC0D29" w:rsidRPr="004B4065" w:rsidRDefault="00F86695" w:rsidP="004B4065">
      <w:pPr>
        <w:pStyle w:val="ListParagraph"/>
        <w:numPr>
          <w:ilvl w:val="0"/>
          <w:numId w:val="5"/>
        </w:numPr>
      </w:pPr>
      <w:r w:rsidRPr="00423529">
        <w:t xml:space="preserve">No incidental take </w:t>
      </w:r>
      <w:r w:rsidR="00FC0D29">
        <w:t xml:space="preserve">was identified during </w:t>
      </w:r>
      <w:r w:rsidR="00247B17" w:rsidRPr="00423529">
        <w:t>the 20</w:t>
      </w:r>
      <w:r w:rsidR="00EB4EDB" w:rsidRPr="00423529">
        <w:t>2</w:t>
      </w:r>
      <w:r w:rsidR="00B27959">
        <w:t>2</w:t>
      </w:r>
      <w:r w:rsidR="00247B17" w:rsidRPr="00423529">
        <w:t xml:space="preserve"> grazing season</w:t>
      </w:r>
      <w:r w:rsidR="002339AC" w:rsidRPr="00423529">
        <w:t>.</w:t>
      </w:r>
    </w:p>
    <w:p w14:paraId="7DEB1081" w14:textId="77777777" w:rsidR="003B1929" w:rsidRPr="00423529" w:rsidRDefault="003B1929" w:rsidP="003B1929">
      <w:pPr>
        <w:autoSpaceDE w:val="0"/>
        <w:autoSpaceDN w:val="0"/>
        <w:adjustRightInd w:val="0"/>
        <w:ind w:left="0"/>
        <w:contextualSpacing/>
        <w:rPr>
          <w:rFonts w:eastAsia="Times New Roman"/>
          <w:b/>
          <w:bCs/>
        </w:rPr>
      </w:pPr>
    </w:p>
    <w:p w14:paraId="5DDC7A3F" w14:textId="39B69F4A" w:rsidR="00385319" w:rsidRPr="00423529" w:rsidRDefault="00A242AF" w:rsidP="007256C3">
      <w:pPr>
        <w:pStyle w:val="ListParagraph"/>
        <w:numPr>
          <w:ilvl w:val="0"/>
          <w:numId w:val="1"/>
        </w:numPr>
        <w:ind w:left="360"/>
      </w:pPr>
      <w:r w:rsidRPr="00423529">
        <w:t>The following terms and conditions implement RPM 2 (monitoring and reporting). The WWNF shall:</w:t>
      </w:r>
    </w:p>
    <w:p w14:paraId="7E706A9A" w14:textId="4D99EE55" w:rsidR="00A242AF" w:rsidRPr="00423529" w:rsidRDefault="00A242AF" w:rsidP="007256C3">
      <w:pPr>
        <w:pStyle w:val="ListParagraph"/>
        <w:numPr>
          <w:ilvl w:val="1"/>
          <w:numId w:val="1"/>
        </w:numPr>
      </w:pPr>
      <w:r w:rsidRPr="00423529">
        <w:t>Submit an annual monitoring report to NMFS by February 1 each year with the following:</w:t>
      </w:r>
    </w:p>
    <w:p w14:paraId="60CAA4B3" w14:textId="77777777" w:rsidR="00E6635E" w:rsidRPr="00423529" w:rsidRDefault="00A242AF" w:rsidP="007256C3">
      <w:pPr>
        <w:pStyle w:val="ListParagraph"/>
        <w:numPr>
          <w:ilvl w:val="2"/>
          <w:numId w:val="1"/>
        </w:numPr>
      </w:pPr>
      <w:r w:rsidRPr="00423529">
        <w:t>Overview of proposed action and actual management (e.g., livestock numbers, on-off dates for each pasture, etc.)</w:t>
      </w:r>
    </w:p>
    <w:p w14:paraId="28001748" w14:textId="7E9F8711" w:rsidR="001F5CDC" w:rsidRDefault="001F5CDC" w:rsidP="0059449C">
      <w:pPr>
        <w:pStyle w:val="ListParagraph"/>
        <w:numPr>
          <w:ilvl w:val="0"/>
          <w:numId w:val="5"/>
        </w:numPr>
      </w:pPr>
      <w:r w:rsidRPr="00423529">
        <w:t xml:space="preserve">See </w:t>
      </w:r>
      <w:r w:rsidR="004B4065">
        <w:t>T</w:t>
      </w:r>
      <w:r w:rsidRPr="00423529">
        <w:t xml:space="preserve">able </w:t>
      </w:r>
      <w:r w:rsidR="003A369D" w:rsidRPr="00423529">
        <w:t xml:space="preserve">2 </w:t>
      </w:r>
      <w:r w:rsidR="004B4065">
        <w:t>- permitted numbers and season of use and Table 3- pasture use dates and number</w:t>
      </w:r>
      <w:r w:rsidR="00291036">
        <w:t xml:space="preserve"> of head</w:t>
      </w:r>
      <w:r w:rsidR="004B4065">
        <w:t xml:space="preserve"> in pastures. </w:t>
      </w:r>
    </w:p>
    <w:p w14:paraId="3D1DB244" w14:textId="77777777" w:rsidR="0059449C" w:rsidRPr="00423529" w:rsidRDefault="0059449C" w:rsidP="0059449C">
      <w:pPr>
        <w:pStyle w:val="ListParagraph"/>
        <w:ind w:left="1080"/>
      </w:pPr>
    </w:p>
    <w:p w14:paraId="06DA74AD" w14:textId="401F75E1" w:rsidR="007D23C3" w:rsidRPr="004B4065" w:rsidRDefault="001F5CDC" w:rsidP="00524AF9">
      <w:pPr>
        <w:rPr>
          <w:b/>
        </w:rPr>
      </w:pPr>
      <w:r w:rsidRPr="004B4065">
        <w:rPr>
          <w:b/>
        </w:rPr>
        <w:t xml:space="preserve">Table 2.  </w:t>
      </w:r>
      <w:r w:rsidRPr="004B4065">
        <w:t>Permitted Livestock Numbers On-Off Dates by Permit</w:t>
      </w:r>
    </w:p>
    <w:tbl>
      <w:tblPr>
        <w:tblW w:w="0" w:type="auto"/>
        <w:tblLayout w:type="fixed"/>
        <w:tblCellMar>
          <w:left w:w="0" w:type="dxa"/>
          <w:right w:w="0" w:type="dxa"/>
        </w:tblCellMar>
        <w:tblLook w:val="0000" w:firstRow="0" w:lastRow="0" w:firstColumn="0" w:lastColumn="0" w:noHBand="0" w:noVBand="0"/>
      </w:tblPr>
      <w:tblGrid>
        <w:gridCol w:w="1617"/>
        <w:gridCol w:w="1676"/>
        <w:gridCol w:w="1676"/>
        <w:gridCol w:w="1614"/>
        <w:gridCol w:w="2757"/>
      </w:tblGrid>
      <w:tr w:rsidR="00213228" w:rsidRPr="004B4065" w14:paraId="65401C03" w14:textId="77777777" w:rsidTr="00FA4FE2">
        <w:tc>
          <w:tcPr>
            <w:tcW w:w="161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102F341" w14:textId="69BCEA53" w:rsidR="00213228" w:rsidRPr="004B4065" w:rsidRDefault="00213228" w:rsidP="00213228">
            <w:pPr>
              <w:pStyle w:val="ListParagraph"/>
              <w:ind w:left="0"/>
              <w:rPr>
                <w:b/>
              </w:rPr>
            </w:pP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93ABFA8" w14:textId="77984103" w:rsidR="00213228" w:rsidRPr="004B4065" w:rsidRDefault="00213228" w:rsidP="00B27959">
            <w:pPr>
              <w:pStyle w:val="ListParagraph"/>
              <w:ind w:left="0"/>
              <w:jc w:val="center"/>
              <w:rPr>
                <w:b/>
              </w:rPr>
            </w:pPr>
            <w:r w:rsidRPr="004B4065">
              <w:rPr>
                <w:rFonts w:eastAsia="Times New Roman"/>
                <w:b/>
                <w:color w:val="000000"/>
              </w:rPr>
              <w:t>Class</w:t>
            </w: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D76EF8" w14:textId="27030401" w:rsidR="00213228" w:rsidRPr="004B4065" w:rsidRDefault="00213228" w:rsidP="00B27959">
            <w:pPr>
              <w:pStyle w:val="ListParagraph"/>
              <w:ind w:left="0"/>
              <w:jc w:val="center"/>
              <w:rPr>
                <w:b/>
              </w:rPr>
            </w:pPr>
            <w:r w:rsidRPr="004B4065">
              <w:rPr>
                <w:rFonts w:eastAsia="Times New Roman"/>
                <w:b/>
                <w:color w:val="000000"/>
              </w:rPr>
              <w:t>Term</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C8E45B" w14:textId="113EED39" w:rsidR="00213228" w:rsidRPr="004B4065" w:rsidRDefault="00213228" w:rsidP="00B27959">
            <w:pPr>
              <w:pStyle w:val="ListParagraph"/>
              <w:ind w:left="0"/>
              <w:jc w:val="center"/>
              <w:rPr>
                <w:b/>
              </w:rPr>
            </w:pPr>
            <w:r w:rsidRPr="004B4065">
              <w:rPr>
                <w:rFonts w:eastAsia="Times New Roman"/>
                <w:b/>
                <w:color w:val="000000"/>
              </w:rPr>
              <w:t>Private Land</w:t>
            </w:r>
          </w:p>
        </w:tc>
        <w:tc>
          <w:tcPr>
            <w:tcW w:w="2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ED3CBD" w14:textId="226EB926" w:rsidR="00213228" w:rsidRPr="004B4065" w:rsidRDefault="00213228" w:rsidP="00B27959">
            <w:pPr>
              <w:pStyle w:val="ListParagraph"/>
              <w:ind w:left="0"/>
              <w:jc w:val="center"/>
              <w:rPr>
                <w:b/>
              </w:rPr>
            </w:pPr>
            <w:r w:rsidRPr="004B4065">
              <w:rPr>
                <w:rFonts w:eastAsia="Times New Roman"/>
                <w:b/>
                <w:color w:val="000000"/>
              </w:rPr>
              <w:t>Season</w:t>
            </w:r>
          </w:p>
        </w:tc>
      </w:tr>
      <w:tr w:rsidR="007D23C3" w:rsidRPr="004B4065" w14:paraId="08F878F7" w14:textId="77777777" w:rsidTr="00FC0D29">
        <w:tc>
          <w:tcPr>
            <w:tcW w:w="1617" w:type="dxa"/>
            <w:tcBorders>
              <w:top w:val="single" w:sz="8" w:space="0" w:color="000000"/>
              <w:left w:val="single" w:sz="8" w:space="0" w:color="000000"/>
              <w:bottom w:val="single" w:sz="8" w:space="0" w:color="000000"/>
              <w:right w:val="single" w:sz="8" w:space="0" w:color="000000"/>
            </w:tcBorders>
          </w:tcPr>
          <w:p w14:paraId="05BAB438" w14:textId="0F76708F" w:rsidR="007D23C3" w:rsidRPr="004B4065" w:rsidRDefault="001B30F3" w:rsidP="005E1FCA">
            <w:pPr>
              <w:pStyle w:val="ListParagraph"/>
              <w:ind w:left="0"/>
            </w:pPr>
            <w:r w:rsidRPr="004B4065">
              <w:rPr>
                <w:rFonts w:eastAsia="Times New Roman"/>
                <w:b/>
                <w:color w:val="000000"/>
              </w:rPr>
              <w:t>Permittee</w:t>
            </w:r>
            <w:r w:rsidRPr="004B4065" w:rsidDel="001B30F3">
              <w:t xml:space="preserve"> </w:t>
            </w:r>
          </w:p>
        </w:tc>
        <w:tc>
          <w:tcPr>
            <w:tcW w:w="1676" w:type="dxa"/>
            <w:tcBorders>
              <w:top w:val="single" w:sz="8" w:space="0" w:color="000000"/>
              <w:left w:val="single" w:sz="8" w:space="0" w:color="000000"/>
              <w:bottom w:val="single" w:sz="8" w:space="0" w:color="000000"/>
              <w:right w:val="single" w:sz="8" w:space="0" w:color="000000"/>
            </w:tcBorders>
          </w:tcPr>
          <w:p w14:paraId="66A071A1" w14:textId="77777777" w:rsidR="007D23C3" w:rsidRPr="004B4065" w:rsidRDefault="007D23C3" w:rsidP="00B27959">
            <w:pPr>
              <w:pStyle w:val="ListParagraph"/>
              <w:ind w:left="0"/>
              <w:jc w:val="center"/>
            </w:pPr>
            <w:r w:rsidRPr="004B4065">
              <w:t>c/c</w:t>
            </w:r>
          </w:p>
        </w:tc>
        <w:tc>
          <w:tcPr>
            <w:tcW w:w="1676" w:type="dxa"/>
            <w:tcBorders>
              <w:top w:val="single" w:sz="8" w:space="0" w:color="000000"/>
              <w:left w:val="single" w:sz="8" w:space="0" w:color="000000"/>
              <w:bottom w:val="single" w:sz="8" w:space="0" w:color="000000"/>
              <w:right w:val="single" w:sz="8" w:space="0" w:color="000000"/>
            </w:tcBorders>
          </w:tcPr>
          <w:p w14:paraId="34340A8D" w14:textId="77777777" w:rsidR="007D23C3" w:rsidRPr="004B4065" w:rsidRDefault="007D23C3" w:rsidP="00B27959">
            <w:pPr>
              <w:pStyle w:val="ListParagraph"/>
              <w:ind w:left="0"/>
              <w:jc w:val="center"/>
            </w:pPr>
            <w:r w:rsidRPr="004B4065">
              <w:t>124</w:t>
            </w:r>
          </w:p>
        </w:tc>
        <w:tc>
          <w:tcPr>
            <w:tcW w:w="1614" w:type="dxa"/>
            <w:tcBorders>
              <w:top w:val="single" w:sz="8" w:space="0" w:color="000000"/>
              <w:left w:val="single" w:sz="8" w:space="0" w:color="000000"/>
              <w:bottom w:val="single" w:sz="8" w:space="0" w:color="000000"/>
              <w:right w:val="single" w:sz="8" w:space="0" w:color="000000"/>
            </w:tcBorders>
          </w:tcPr>
          <w:p w14:paraId="4B858DA0" w14:textId="77777777" w:rsidR="007D23C3" w:rsidRPr="004B4065" w:rsidRDefault="007D23C3" w:rsidP="00B27959">
            <w:pPr>
              <w:pStyle w:val="ListParagraph"/>
              <w:ind w:left="0"/>
              <w:jc w:val="center"/>
            </w:pPr>
            <w:r w:rsidRPr="004B4065">
              <w:t>19</w:t>
            </w:r>
          </w:p>
        </w:tc>
        <w:tc>
          <w:tcPr>
            <w:tcW w:w="2757" w:type="dxa"/>
            <w:tcBorders>
              <w:top w:val="single" w:sz="8" w:space="0" w:color="000000"/>
              <w:left w:val="single" w:sz="8" w:space="0" w:color="000000"/>
              <w:bottom w:val="single" w:sz="8" w:space="0" w:color="000000"/>
              <w:right w:val="single" w:sz="8" w:space="0" w:color="000000"/>
            </w:tcBorders>
          </w:tcPr>
          <w:p w14:paraId="5D971B20" w14:textId="77777777" w:rsidR="007D23C3" w:rsidRPr="004B4065" w:rsidRDefault="007D23C3" w:rsidP="00B27959">
            <w:pPr>
              <w:pStyle w:val="ListParagraph"/>
              <w:ind w:left="0"/>
              <w:jc w:val="center"/>
            </w:pPr>
            <w:r w:rsidRPr="004B4065">
              <w:t>4/16 – 11/10</w:t>
            </w:r>
          </w:p>
        </w:tc>
      </w:tr>
    </w:tbl>
    <w:p w14:paraId="762296CC" w14:textId="77777777" w:rsidR="001F5CDC" w:rsidRPr="00423529" w:rsidRDefault="001F5CDC" w:rsidP="001F5CDC">
      <w:pPr>
        <w:contextualSpacing/>
        <w:rPr>
          <w:b/>
          <w:sz w:val="20"/>
          <w:szCs w:val="20"/>
        </w:rPr>
      </w:pPr>
    </w:p>
    <w:p w14:paraId="6478E350" w14:textId="1D8B1E34" w:rsidR="005971D1" w:rsidRPr="00423529" w:rsidRDefault="00D55B8F" w:rsidP="00E6635E">
      <w:r w:rsidRPr="00423529">
        <w:rPr>
          <w:b/>
        </w:rPr>
        <w:t xml:space="preserve">Table </w:t>
      </w:r>
      <w:r w:rsidR="001F5CDC" w:rsidRPr="00423529">
        <w:rPr>
          <w:b/>
        </w:rPr>
        <w:t>3</w:t>
      </w:r>
      <w:r w:rsidRPr="00423529">
        <w:rPr>
          <w:b/>
        </w:rPr>
        <w:t>.</w:t>
      </w:r>
      <w:r w:rsidRPr="00423529">
        <w:t xml:space="preserve"> </w:t>
      </w:r>
      <w:r w:rsidR="007D23C3" w:rsidRPr="00423529">
        <w:t>Bear Gulch</w:t>
      </w:r>
      <w:r w:rsidRPr="00423529">
        <w:t xml:space="preserve"> 20</w:t>
      </w:r>
      <w:r w:rsidR="003E5692" w:rsidRPr="00423529">
        <w:t>2</w:t>
      </w:r>
      <w:r w:rsidR="0022043C">
        <w:t>1</w:t>
      </w:r>
      <w:r w:rsidRPr="00423529">
        <w:t xml:space="preserve"> Grazing Schedule</w:t>
      </w:r>
    </w:p>
    <w:tbl>
      <w:tblPr>
        <w:tblW w:w="0" w:type="auto"/>
        <w:tblLayout w:type="fixed"/>
        <w:tblCellMar>
          <w:left w:w="0" w:type="dxa"/>
          <w:right w:w="0" w:type="dxa"/>
        </w:tblCellMar>
        <w:tblLook w:val="0000" w:firstRow="0" w:lastRow="0" w:firstColumn="0" w:lastColumn="0" w:noHBand="0" w:noVBand="0"/>
      </w:tblPr>
      <w:tblGrid>
        <w:gridCol w:w="2467"/>
        <w:gridCol w:w="643"/>
        <w:gridCol w:w="755"/>
        <w:gridCol w:w="740"/>
        <w:gridCol w:w="842"/>
        <w:gridCol w:w="779"/>
        <w:gridCol w:w="846"/>
        <w:gridCol w:w="658"/>
        <w:gridCol w:w="822"/>
        <w:gridCol w:w="788"/>
      </w:tblGrid>
      <w:tr w:rsidR="00DA5DA9" w:rsidRPr="00423529" w14:paraId="1A34EDBA" w14:textId="77777777" w:rsidTr="00FC0D29">
        <w:trPr>
          <w:trHeight w:val="457"/>
        </w:trPr>
        <w:tc>
          <w:tcPr>
            <w:tcW w:w="2467" w:type="dxa"/>
            <w:tcBorders>
              <w:top w:val="single" w:sz="8" w:space="0" w:color="000000"/>
              <w:left w:val="single" w:sz="8" w:space="0" w:color="000000"/>
              <w:bottom w:val="single" w:sz="8" w:space="0" w:color="000000"/>
              <w:right w:val="single" w:sz="8" w:space="0" w:color="000000"/>
            </w:tcBorders>
          </w:tcPr>
          <w:p w14:paraId="45E50263"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lastRenderedPageBreak/>
              <w:t xml:space="preserve">Pasture        </w:t>
            </w:r>
          </w:p>
        </w:tc>
        <w:tc>
          <w:tcPr>
            <w:tcW w:w="643" w:type="dxa"/>
            <w:tcBorders>
              <w:top w:val="single" w:sz="8" w:space="0" w:color="000000"/>
              <w:left w:val="single" w:sz="8" w:space="0" w:color="000000"/>
              <w:bottom w:val="single" w:sz="8" w:space="0" w:color="000000"/>
              <w:right w:val="single" w:sz="8" w:space="0" w:color="000000"/>
            </w:tcBorders>
          </w:tcPr>
          <w:p w14:paraId="7D997BDC"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 xml:space="preserve"> Hd</w:t>
            </w:r>
          </w:p>
        </w:tc>
        <w:tc>
          <w:tcPr>
            <w:tcW w:w="755" w:type="dxa"/>
            <w:tcBorders>
              <w:top w:val="single" w:sz="8" w:space="0" w:color="000000"/>
              <w:left w:val="single" w:sz="8" w:space="0" w:color="000000"/>
              <w:bottom w:val="single" w:sz="8" w:space="0" w:color="000000"/>
              <w:right w:val="single" w:sz="8" w:space="0" w:color="000000"/>
            </w:tcBorders>
          </w:tcPr>
          <w:p w14:paraId="04319658"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Apr</w:t>
            </w:r>
          </w:p>
        </w:tc>
        <w:tc>
          <w:tcPr>
            <w:tcW w:w="740" w:type="dxa"/>
            <w:tcBorders>
              <w:top w:val="single" w:sz="8" w:space="0" w:color="000000"/>
              <w:left w:val="single" w:sz="8" w:space="0" w:color="000000"/>
              <w:bottom w:val="single" w:sz="8" w:space="0" w:color="000000"/>
              <w:right w:val="single" w:sz="8" w:space="0" w:color="000000"/>
            </w:tcBorders>
          </w:tcPr>
          <w:p w14:paraId="7D616556"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May</w:t>
            </w:r>
          </w:p>
        </w:tc>
        <w:tc>
          <w:tcPr>
            <w:tcW w:w="842" w:type="dxa"/>
            <w:tcBorders>
              <w:top w:val="single" w:sz="8" w:space="0" w:color="000000"/>
              <w:left w:val="single" w:sz="8" w:space="0" w:color="000000"/>
              <w:bottom w:val="single" w:sz="8" w:space="0" w:color="000000"/>
              <w:right w:val="single" w:sz="8" w:space="0" w:color="000000"/>
            </w:tcBorders>
          </w:tcPr>
          <w:p w14:paraId="1C799D5D"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Jun</w:t>
            </w:r>
          </w:p>
        </w:tc>
        <w:tc>
          <w:tcPr>
            <w:tcW w:w="779" w:type="dxa"/>
            <w:tcBorders>
              <w:top w:val="single" w:sz="8" w:space="0" w:color="000000"/>
              <w:left w:val="single" w:sz="8" w:space="0" w:color="000000"/>
              <w:bottom w:val="single" w:sz="8" w:space="0" w:color="000000"/>
              <w:right w:val="single" w:sz="8" w:space="0" w:color="000000"/>
            </w:tcBorders>
          </w:tcPr>
          <w:p w14:paraId="0096BBDA"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 xml:space="preserve">July </w:t>
            </w:r>
          </w:p>
        </w:tc>
        <w:tc>
          <w:tcPr>
            <w:tcW w:w="846" w:type="dxa"/>
            <w:tcBorders>
              <w:top w:val="single" w:sz="8" w:space="0" w:color="000000"/>
              <w:left w:val="single" w:sz="8" w:space="0" w:color="000000"/>
              <w:bottom w:val="single" w:sz="8" w:space="0" w:color="000000"/>
              <w:right w:val="single" w:sz="8" w:space="0" w:color="000000"/>
            </w:tcBorders>
          </w:tcPr>
          <w:p w14:paraId="31B13D1D"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Aug</w:t>
            </w:r>
          </w:p>
        </w:tc>
        <w:tc>
          <w:tcPr>
            <w:tcW w:w="658" w:type="dxa"/>
            <w:tcBorders>
              <w:top w:val="single" w:sz="8" w:space="0" w:color="000000"/>
              <w:left w:val="single" w:sz="8" w:space="0" w:color="000000"/>
              <w:bottom w:val="single" w:sz="8" w:space="0" w:color="000000"/>
              <w:right w:val="single" w:sz="8" w:space="0" w:color="000000"/>
            </w:tcBorders>
          </w:tcPr>
          <w:p w14:paraId="77824DBC"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Sep</w:t>
            </w:r>
          </w:p>
        </w:tc>
        <w:tc>
          <w:tcPr>
            <w:tcW w:w="822" w:type="dxa"/>
            <w:tcBorders>
              <w:top w:val="single" w:sz="8" w:space="0" w:color="000000"/>
              <w:left w:val="single" w:sz="8" w:space="0" w:color="000000"/>
              <w:bottom w:val="single" w:sz="8" w:space="0" w:color="000000"/>
              <w:right w:val="single" w:sz="8" w:space="0" w:color="000000"/>
            </w:tcBorders>
          </w:tcPr>
          <w:p w14:paraId="5CED2696"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Oct</w:t>
            </w:r>
          </w:p>
        </w:tc>
        <w:tc>
          <w:tcPr>
            <w:tcW w:w="788" w:type="dxa"/>
            <w:tcBorders>
              <w:top w:val="single" w:sz="8" w:space="0" w:color="000000"/>
              <w:left w:val="single" w:sz="8" w:space="0" w:color="000000"/>
              <w:bottom w:val="single" w:sz="8" w:space="0" w:color="000000"/>
              <w:right w:val="single" w:sz="8" w:space="0" w:color="000000"/>
            </w:tcBorders>
          </w:tcPr>
          <w:p w14:paraId="10EE1F56" w14:textId="77777777" w:rsidR="00DA5DA9" w:rsidRPr="004B4065" w:rsidRDefault="00DA5DA9" w:rsidP="00DA5DA9">
            <w:pPr>
              <w:pStyle w:val="ListParagraph"/>
              <w:ind w:left="0"/>
              <w:rPr>
                <w:rFonts w:eastAsia="Times New Roman"/>
                <w:b/>
                <w:color w:val="000000"/>
              </w:rPr>
            </w:pPr>
            <w:r w:rsidRPr="004B4065">
              <w:rPr>
                <w:rFonts w:eastAsia="Times New Roman"/>
                <w:b/>
                <w:color w:val="000000"/>
              </w:rPr>
              <w:t>Nov</w:t>
            </w:r>
          </w:p>
        </w:tc>
      </w:tr>
      <w:tr w:rsidR="00DA5DA9" w:rsidRPr="00423529" w14:paraId="4EE7B42F" w14:textId="77777777" w:rsidTr="00FC0D29">
        <w:tc>
          <w:tcPr>
            <w:tcW w:w="2467" w:type="dxa"/>
            <w:tcBorders>
              <w:top w:val="single" w:sz="8" w:space="0" w:color="000000"/>
              <w:left w:val="single" w:sz="8" w:space="0" w:color="000000"/>
              <w:bottom w:val="single" w:sz="8" w:space="0" w:color="000000"/>
              <w:right w:val="single" w:sz="8" w:space="0" w:color="000000"/>
            </w:tcBorders>
          </w:tcPr>
          <w:p w14:paraId="79C8C725" w14:textId="1A2DD541" w:rsidR="00DA5DA9" w:rsidRPr="004B4065" w:rsidRDefault="00DA5DA9" w:rsidP="00DA5DA9">
            <w:pPr>
              <w:pStyle w:val="ListParagraph"/>
              <w:ind w:left="0"/>
            </w:pPr>
            <w:r w:rsidRPr="004B4065">
              <w:t xml:space="preserve">Lower Bear Gulch  </w:t>
            </w:r>
          </w:p>
        </w:tc>
        <w:tc>
          <w:tcPr>
            <w:tcW w:w="643" w:type="dxa"/>
            <w:tcBorders>
              <w:top w:val="single" w:sz="8" w:space="0" w:color="000000"/>
              <w:left w:val="single" w:sz="8" w:space="0" w:color="000000"/>
              <w:bottom w:val="single" w:sz="8" w:space="0" w:color="000000"/>
              <w:right w:val="single" w:sz="8" w:space="0" w:color="000000"/>
            </w:tcBorders>
          </w:tcPr>
          <w:p w14:paraId="268CE256" w14:textId="4FC51FE5" w:rsidR="00DA5DA9" w:rsidRPr="004B4065" w:rsidRDefault="00DD4DF7" w:rsidP="00DA5DA9">
            <w:pPr>
              <w:pStyle w:val="ListParagraph"/>
              <w:ind w:left="0"/>
            </w:pPr>
            <w:r>
              <w:t>103</w:t>
            </w:r>
          </w:p>
        </w:tc>
        <w:tc>
          <w:tcPr>
            <w:tcW w:w="755" w:type="dxa"/>
            <w:tcBorders>
              <w:top w:val="single" w:sz="8" w:space="0" w:color="000000"/>
              <w:left w:val="single" w:sz="8" w:space="0" w:color="000000"/>
              <w:bottom w:val="single" w:sz="8" w:space="0" w:color="000000"/>
              <w:right w:val="single" w:sz="8" w:space="0" w:color="000000"/>
            </w:tcBorders>
          </w:tcPr>
          <w:p w14:paraId="05D3B584" w14:textId="3E06CBAA" w:rsidR="00DA5DA9" w:rsidRPr="004B4065" w:rsidRDefault="00DA5DA9" w:rsidP="00DA5DA9">
            <w:pPr>
              <w:pStyle w:val="ListParagraph"/>
              <w:ind w:left="0"/>
            </w:pPr>
          </w:p>
        </w:tc>
        <w:tc>
          <w:tcPr>
            <w:tcW w:w="740" w:type="dxa"/>
            <w:tcBorders>
              <w:top w:val="single" w:sz="8" w:space="0" w:color="000000"/>
              <w:left w:val="single" w:sz="8" w:space="0" w:color="000000"/>
              <w:bottom w:val="single" w:sz="8" w:space="0" w:color="000000"/>
              <w:right w:val="single" w:sz="8" w:space="0" w:color="000000"/>
            </w:tcBorders>
          </w:tcPr>
          <w:p w14:paraId="35649E59" w14:textId="77777777" w:rsidR="00DA5DA9" w:rsidRPr="004B4065" w:rsidRDefault="00DA5DA9" w:rsidP="00241351">
            <w:pPr>
              <w:pStyle w:val="ListParagraph"/>
              <w:ind w:left="0"/>
            </w:pPr>
          </w:p>
        </w:tc>
        <w:tc>
          <w:tcPr>
            <w:tcW w:w="842" w:type="dxa"/>
            <w:tcBorders>
              <w:top w:val="single" w:sz="8" w:space="0" w:color="000000"/>
              <w:left w:val="single" w:sz="8" w:space="0" w:color="000000"/>
              <w:bottom w:val="single" w:sz="8" w:space="0" w:color="000000"/>
              <w:right w:val="single" w:sz="8" w:space="0" w:color="000000"/>
            </w:tcBorders>
          </w:tcPr>
          <w:p w14:paraId="701B7C2B" w14:textId="77777777" w:rsidR="00DA5DA9" w:rsidRPr="004B4065" w:rsidRDefault="00DA5DA9" w:rsidP="00DA5DA9">
            <w:pPr>
              <w:pStyle w:val="ListParagraph"/>
              <w:ind w:left="0"/>
            </w:pPr>
          </w:p>
        </w:tc>
        <w:tc>
          <w:tcPr>
            <w:tcW w:w="779" w:type="dxa"/>
            <w:tcBorders>
              <w:top w:val="single" w:sz="8" w:space="0" w:color="000000"/>
              <w:left w:val="single" w:sz="8" w:space="0" w:color="000000"/>
              <w:bottom w:val="single" w:sz="8" w:space="0" w:color="000000"/>
              <w:right w:val="single" w:sz="8" w:space="0" w:color="000000"/>
            </w:tcBorders>
          </w:tcPr>
          <w:p w14:paraId="69777488" w14:textId="77777777" w:rsidR="00DA5DA9" w:rsidRPr="004B4065" w:rsidRDefault="00DA5DA9" w:rsidP="00DA5DA9">
            <w:pPr>
              <w:pStyle w:val="ListParagraph"/>
              <w:ind w:left="0"/>
            </w:pPr>
          </w:p>
        </w:tc>
        <w:tc>
          <w:tcPr>
            <w:tcW w:w="846" w:type="dxa"/>
            <w:tcBorders>
              <w:top w:val="single" w:sz="8" w:space="0" w:color="000000"/>
              <w:left w:val="single" w:sz="8" w:space="0" w:color="000000"/>
              <w:bottom w:val="single" w:sz="8" w:space="0" w:color="000000"/>
              <w:right w:val="single" w:sz="8" w:space="0" w:color="000000"/>
            </w:tcBorders>
          </w:tcPr>
          <w:p w14:paraId="26BE6970" w14:textId="77777777" w:rsidR="00DA5DA9" w:rsidRPr="004B4065" w:rsidRDefault="00DA5DA9" w:rsidP="00DA5DA9">
            <w:pPr>
              <w:pStyle w:val="ListParagraph"/>
              <w:ind w:left="0"/>
            </w:pPr>
          </w:p>
        </w:tc>
        <w:tc>
          <w:tcPr>
            <w:tcW w:w="658" w:type="dxa"/>
            <w:tcBorders>
              <w:top w:val="single" w:sz="8" w:space="0" w:color="000000"/>
              <w:left w:val="single" w:sz="8" w:space="0" w:color="000000"/>
              <w:bottom w:val="single" w:sz="8" w:space="0" w:color="000000"/>
              <w:right w:val="single" w:sz="8" w:space="0" w:color="000000"/>
            </w:tcBorders>
          </w:tcPr>
          <w:p w14:paraId="71DFB3F8" w14:textId="7909ADDC" w:rsidR="00DA5DA9" w:rsidRPr="004B4065" w:rsidRDefault="00DD4DF7" w:rsidP="00DA5DA9">
            <w:pPr>
              <w:pStyle w:val="ListParagraph"/>
              <w:ind w:left="0"/>
            </w:pPr>
            <w:r>
              <w:t xml:space="preserve">26- </w:t>
            </w:r>
          </w:p>
        </w:tc>
        <w:tc>
          <w:tcPr>
            <w:tcW w:w="822" w:type="dxa"/>
            <w:tcBorders>
              <w:top w:val="single" w:sz="8" w:space="0" w:color="000000"/>
              <w:left w:val="single" w:sz="8" w:space="0" w:color="000000"/>
              <w:bottom w:val="single" w:sz="8" w:space="0" w:color="000000"/>
              <w:right w:val="single" w:sz="8" w:space="0" w:color="000000"/>
            </w:tcBorders>
          </w:tcPr>
          <w:p w14:paraId="2E081978" w14:textId="6816D9D3" w:rsidR="00DA5DA9" w:rsidRPr="004B4065" w:rsidRDefault="00DD4DF7" w:rsidP="0022043C">
            <w:pPr>
              <w:pStyle w:val="ListParagraph"/>
              <w:ind w:left="0"/>
              <w:jc w:val="center"/>
            </w:pPr>
            <w:r>
              <w:t>- 15</w:t>
            </w:r>
          </w:p>
        </w:tc>
        <w:tc>
          <w:tcPr>
            <w:tcW w:w="788" w:type="dxa"/>
            <w:tcBorders>
              <w:top w:val="single" w:sz="8" w:space="0" w:color="000000"/>
              <w:left w:val="single" w:sz="8" w:space="0" w:color="000000"/>
              <w:bottom w:val="single" w:sz="8" w:space="0" w:color="000000"/>
              <w:right w:val="single" w:sz="8" w:space="0" w:color="000000"/>
            </w:tcBorders>
          </w:tcPr>
          <w:p w14:paraId="07C5EB7C" w14:textId="754AEA36" w:rsidR="00DA5DA9" w:rsidRPr="004B4065" w:rsidRDefault="00DA5DA9" w:rsidP="0022043C">
            <w:pPr>
              <w:pStyle w:val="ListParagraph"/>
              <w:ind w:left="0"/>
              <w:jc w:val="center"/>
            </w:pPr>
          </w:p>
        </w:tc>
      </w:tr>
      <w:tr w:rsidR="00705E0B" w:rsidRPr="00423529" w14:paraId="6873C7E4" w14:textId="77777777" w:rsidTr="00FC0D29">
        <w:tc>
          <w:tcPr>
            <w:tcW w:w="2467" w:type="dxa"/>
            <w:tcBorders>
              <w:top w:val="single" w:sz="8" w:space="0" w:color="000000"/>
              <w:left w:val="single" w:sz="8" w:space="0" w:color="000000"/>
              <w:bottom w:val="single" w:sz="4" w:space="0" w:color="auto"/>
              <w:right w:val="single" w:sz="8" w:space="0" w:color="000000"/>
            </w:tcBorders>
          </w:tcPr>
          <w:p w14:paraId="5E90E1DA" w14:textId="71625317" w:rsidR="00705E0B" w:rsidRPr="004B4065" w:rsidRDefault="00705E0B" w:rsidP="00705E0B">
            <w:pPr>
              <w:pStyle w:val="ListParagraph"/>
              <w:ind w:left="0"/>
            </w:pPr>
            <w:r w:rsidRPr="004B4065">
              <w:t xml:space="preserve">Upper West Bear </w:t>
            </w:r>
          </w:p>
        </w:tc>
        <w:tc>
          <w:tcPr>
            <w:tcW w:w="643" w:type="dxa"/>
            <w:tcBorders>
              <w:top w:val="single" w:sz="8" w:space="0" w:color="000000"/>
              <w:left w:val="single" w:sz="8" w:space="0" w:color="000000"/>
              <w:bottom w:val="single" w:sz="4" w:space="0" w:color="auto"/>
              <w:right w:val="single" w:sz="8" w:space="0" w:color="000000"/>
            </w:tcBorders>
          </w:tcPr>
          <w:p w14:paraId="77355583" w14:textId="76B6A146" w:rsidR="00705E0B" w:rsidRPr="004B4065" w:rsidRDefault="00DD4DF7" w:rsidP="00705E0B">
            <w:pPr>
              <w:pStyle w:val="ListParagraph"/>
              <w:ind w:left="0"/>
            </w:pPr>
            <w:r>
              <w:t>25</w:t>
            </w:r>
          </w:p>
        </w:tc>
        <w:tc>
          <w:tcPr>
            <w:tcW w:w="755" w:type="dxa"/>
            <w:tcBorders>
              <w:top w:val="single" w:sz="8" w:space="0" w:color="000000"/>
              <w:left w:val="single" w:sz="8" w:space="0" w:color="000000"/>
              <w:bottom w:val="single" w:sz="4" w:space="0" w:color="auto"/>
              <w:right w:val="single" w:sz="8" w:space="0" w:color="000000"/>
            </w:tcBorders>
          </w:tcPr>
          <w:p w14:paraId="541E8351" w14:textId="77777777" w:rsidR="00705E0B" w:rsidRPr="004B4065" w:rsidRDefault="00705E0B" w:rsidP="00705E0B">
            <w:pPr>
              <w:pStyle w:val="ListParagraph"/>
              <w:ind w:left="0"/>
              <w:rPr>
                <w:color w:val="FF0000"/>
              </w:rPr>
            </w:pPr>
          </w:p>
        </w:tc>
        <w:tc>
          <w:tcPr>
            <w:tcW w:w="740" w:type="dxa"/>
            <w:tcBorders>
              <w:top w:val="single" w:sz="8" w:space="0" w:color="000000"/>
              <w:left w:val="single" w:sz="8" w:space="0" w:color="000000"/>
              <w:bottom w:val="single" w:sz="4" w:space="0" w:color="auto"/>
              <w:right w:val="single" w:sz="8" w:space="0" w:color="000000"/>
            </w:tcBorders>
          </w:tcPr>
          <w:p w14:paraId="31A096AA" w14:textId="16FE9BE0" w:rsidR="00705E0B" w:rsidRPr="004B4065" w:rsidRDefault="00DD4DF7" w:rsidP="00705E0B">
            <w:pPr>
              <w:pStyle w:val="ListParagraph"/>
              <w:ind w:left="0"/>
            </w:pPr>
            <w:r>
              <w:t>1-</w:t>
            </w:r>
          </w:p>
        </w:tc>
        <w:tc>
          <w:tcPr>
            <w:tcW w:w="842" w:type="dxa"/>
            <w:tcBorders>
              <w:top w:val="single" w:sz="8" w:space="0" w:color="000000"/>
              <w:left w:val="single" w:sz="8" w:space="0" w:color="000000"/>
              <w:bottom w:val="single" w:sz="4" w:space="0" w:color="auto"/>
              <w:right w:val="single" w:sz="8" w:space="0" w:color="000000"/>
            </w:tcBorders>
          </w:tcPr>
          <w:p w14:paraId="78C0C23C" w14:textId="40AEAC5A" w:rsidR="00705E0B" w:rsidRPr="004B4065" w:rsidRDefault="00DD4DF7" w:rsidP="00705E0B">
            <w:pPr>
              <w:pStyle w:val="ListParagraph"/>
              <w:ind w:left="0"/>
            </w:pPr>
            <w:r>
              <w:t>-</w:t>
            </w:r>
          </w:p>
        </w:tc>
        <w:tc>
          <w:tcPr>
            <w:tcW w:w="779" w:type="dxa"/>
            <w:tcBorders>
              <w:top w:val="single" w:sz="8" w:space="0" w:color="000000"/>
              <w:left w:val="single" w:sz="8" w:space="0" w:color="000000"/>
              <w:bottom w:val="single" w:sz="4" w:space="0" w:color="auto"/>
              <w:right w:val="single" w:sz="8" w:space="0" w:color="000000"/>
            </w:tcBorders>
          </w:tcPr>
          <w:p w14:paraId="15E866C5" w14:textId="4840E12A" w:rsidR="00705E0B" w:rsidRPr="004B4065" w:rsidRDefault="00DD4DF7" w:rsidP="00705E0B">
            <w:pPr>
              <w:pStyle w:val="ListParagraph"/>
              <w:ind w:left="0"/>
            </w:pPr>
            <w:r>
              <w:t>-15</w:t>
            </w:r>
          </w:p>
        </w:tc>
        <w:tc>
          <w:tcPr>
            <w:tcW w:w="846" w:type="dxa"/>
            <w:tcBorders>
              <w:top w:val="single" w:sz="8" w:space="0" w:color="000000"/>
              <w:left w:val="single" w:sz="8" w:space="0" w:color="000000"/>
              <w:bottom w:val="single" w:sz="4" w:space="0" w:color="auto"/>
              <w:right w:val="single" w:sz="8" w:space="0" w:color="000000"/>
            </w:tcBorders>
          </w:tcPr>
          <w:p w14:paraId="0FBB477F" w14:textId="7C0AD368" w:rsidR="00705E0B" w:rsidRPr="004B4065" w:rsidRDefault="00705E0B" w:rsidP="004238E2">
            <w:pPr>
              <w:pStyle w:val="ListParagraph"/>
              <w:ind w:left="0"/>
              <w:jc w:val="center"/>
            </w:pPr>
          </w:p>
        </w:tc>
        <w:tc>
          <w:tcPr>
            <w:tcW w:w="658" w:type="dxa"/>
            <w:tcBorders>
              <w:top w:val="single" w:sz="8" w:space="0" w:color="000000"/>
              <w:left w:val="single" w:sz="8" w:space="0" w:color="000000"/>
              <w:bottom w:val="single" w:sz="4" w:space="0" w:color="auto"/>
              <w:right w:val="single" w:sz="8" w:space="0" w:color="000000"/>
            </w:tcBorders>
          </w:tcPr>
          <w:p w14:paraId="1EB281E5" w14:textId="465D441A" w:rsidR="00705E0B" w:rsidRPr="004B4065" w:rsidRDefault="00705E0B" w:rsidP="004238E2">
            <w:pPr>
              <w:pStyle w:val="ListParagraph"/>
              <w:ind w:left="0"/>
              <w:jc w:val="center"/>
            </w:pPr>
          </w:p>
        </w:tc>
        <w:tc>
          <w:tcPr>
            <w:tcW w:w="822" w:type="dxa"/>
            <w:tcBorders>
              <w:top w:val="single" w:sz="8" w:space="0" w:color="000000"/>
              <w:left w:val="single" w:sz="8" w:space="0" w:color="000000"/>
              <w:bottom w:val="single" w:sz="4" w:space="0" w:color="auto"/>
              <w:right w:val="single" w:sz="8" w:space="0" w:color="000000"/>
            </w:tcBorders>
          </w:tcPr>
          <w:p w14:paraId="412DEEDB" w14:textId="1470BB85" w:rsidR="00705E0B" w:rsidRPr="004B4065" w:rsidRDefault="00705E0B" w:rsidP="00705E0B">
            <w:pPr>
              <w:pStyle w:val="ListParagraph"/>
              <w:ind w:left="0"/>
            </w:pPr>
          </w:p>
        </w:tc>
        <w:tc>
          <w:tcPr>
            <w:tcW w:w="788" w:type="dxa"/>
            <w:tcBorders>
              <w:top w:val="single" w:sz="8" w:space="0" w:color="000000"/>
              <w:left w:val="single" w:sz="8" w:space="0" w:color="000000"/>
              <w:bottom w:val="single" w:sz="4" w:space="0" w:color="auto"/>
              <w:right w:val="single" w:sz="8" w:space="0" w:color="000000"/>
            </w:tcBorders>
          </w:tcPr>
          <w:p w14:paraId="1A311809" w14:textId="77777777" w:rsidR="00705E0B" w:rsidRPr="004B4065" w:rsidRDefault="00705E0B" w:rsidP="00705E0B">
            <w:pPr>
              <w:pStyle w:val="ListParagraph"/>
              <w:ind w:left="0"/>
            </w:pPr>
          </w:p>
        </w:tc>
      </w:tr>
      <w:tr w:rsidR="00705E0B" w:rsidRPr="00423529" w14:paraId="7046B443" w14:textId="77777777" w:rsidTr="00FC0D29">
        <w:tc>
          <w:tcPr>
            <w:tcW w:w="2467" w:type="dxa"/>
            <w:tcBorders>
              <w:top w:val="single" w:sz="4" w:space="0" w:color="auto"/>
              <w:left w:val="single" w:sz="4" w:space="0" w:color="auto"/>
              <w:bottom w:val="single" w:sz="4" w:space="0" w:color="auto"/>
              <w:right w:val="single" w:sz="4" w:space="0" w:color="auto"/>
            </w:tcBorders>
          </w:tcPr>
          <w:p w14:paraId="3CC85FA1" w14:textId="1D31E718" w:rsidR="00705E0B" w:rsidRPr="004B4065" w:rsidRDefault="00705E0B" w:rsidP="00705E0B">
            <w:pPr>
              <w:pStyle w:val="ListParagraph"/>
              <w:ind w:left="0"/>
            </w:pPr>
            <w:r w:rsidRPr="004B4065">
              <w:t xml:space="preserve">Clear Lake Ridge </w:t>
            </w:r>
          </w:p>
        </w:tc>
        <w:tc>
          <w:tcPr>
            <w:tcW w:w="643" w:type="dxa"/>
            <w:tcBorders>
              <w:top w:val="single" w:sz="4" w:space="0" w:color="auto"/>
              <w:left w:val="single" w:sz="4" w:space="0" w:color="auto"/>
              <w:bottom w:val="single" w:sz="4" w:space="0" w:color="auto"/>
              <w:right w:val="single" w:sz="4" w:space="0" w:color="auto"/>
            </w:tcBorders>
          </w:tcPr>
          <w:p w14:paraId="6E09693E" w14:textId="73B273F1" w:rsidR="00705E0B" w:rsidRPr="004B4065" w:rsidRDefault="00DD4DF7" w:rsidP="00705E0B">
            <w:pPr>
              <w:pStyle w:val="ListParagraph"/>
              <w:ind w:left="0"/>
            </w:pPr>
            <w:r>
              <w:t>103</w:t>
            </w:r>
          </w:p>
        </w:tc>
        <w:tc>
          <w:tcPr>
            <w:tcW w:w="755" w:type="dxa"/>
            <w:tcBorders>
              <w:top w:val="single" w:sz="4" w:space="0" w:color="auto"/>
              <w:left w:val="single" w:sz="4" w:space="0" w:color="auto"/>
              <w:bottom w:val="single" w:sz="4" w:space="0" w:color="auto"/>
              <w:right w:val="single" w:sz="4" w:space="0" w:color="auto"/>
            </w:tcBorders>
          </w:tcPr>
          <w:p w14:paraId="7A1773D8" w14:textId="77777777" w:rsidR="00705E0B" w:rsidRPr="004B4065" w:rsidRDefault="00705E0B" w:rsidP="00705E0B">
            <w:pPr>
              <w:pStyle w:val="ListParagraph"/>
              <w:ind w:left="0"/>
              <w:rPr>
                <w:color w:val="FF0000"/>
              </w:rPr>
            </w:pPr>
          </w:p>
        </w:tc>
        <w:tc>
          <w:tcPr>
            <w:tcW w:w="740" w:type="dxa"/>
            <w:tcBorders>
              <w:top w:val="single" w:sz="4" w:space="0" w:color="auto"/>
              <w:left w:val="single" w:sz="4" w:space="0" w:color="auto"/>
              <w:bottom w:val="single" w:sz="4" w:space="0" w:color="auto"/>
              <w:right w:val="single" w:sz="4" w:space="0" w:color="auto"/>
            </w:tcBorders>
          </w:tcPr>
          <w:p w14:paraId="70C41D47" w14:textId="2812C46A" w:rsidR="00705E0B" w:rsidRPr="004B4065" w:rsidRDefault="00705E0B" w:rsidP="00705E0B">
            <w:pPr>
              <w:pStyle w:val="ListParagraph"/>
              <w:ind w:left="0"/>
            </w:pPr>
          </w:p>
        </w:tc>
        <w:tc>
          <w:tcPr>
            <w:tcW w:w="842" w:type="dxa"/>
            <w:tcBorders>
              <w:top w:val="single" w:sz="4" w:space="0" w:color="auto"/>
              <w:left w:val="single" w:sz="4" w:space="0" w:color="auto"/>
              <w:bottom w:val="single" w:sz="4" w:space="0" w:color="auto"/>
              <w:right w:val="single" w:sz="4" w:space="0" w:color="auto"/>
            </w:tcBorders>
            <w:vAlign w:val="center"/>
          </w:tcPr>
          <w:p w14:paraId="2EA417B8" w14:textId="7305E135" w:rsidR="00705E0B" w:rsidRPr="004B4065" w:rsidRDefault="00705E0B" w:rsidP="00705E0B">
            <w:pPr>
              <w:pStyle w:val="ListParagraph"/>
              <w:ind w:left="0"/>
            </w:pPr>
          </w:p>
        </w:tc>
        <w:tc>
          <w:tcPr>
            <w:tcW w:w="779" w:type="dxa"/>
            <w:tcBorders>
              <w:top w:val="single" w:sz="4" w:space="0" w:color="auto"/>
              <w:left w:val="single" w:sz="4" w:space="0" w:color="auto"/>
              <w:bottom w:val="single" w:sz="4" w:space="0" w:color="auto"/>
              <w:right w:val="single" w:sz="4" w:space="0" w:color="auto"/>
            </w:tcBorders>
            <w:vAlign w:val="center"/>
          </w:tcPr>
          <w:p w14:paraId="682EA91C" w14:textId="0100933A" w:rsidR="00705E0B" w:rsidRPr="004B4065" w:rsidRDefault="00DD4DF7" w:rsidP="00705E0B">
            <w:pPr>
              <w:pStyle w:val="ListParagraph"/>
              <w:ind w:left="0"/>
            </w:pPr>
            <w:r>
              <w:t>16-</w:t>
            </w:r>
          </w:p>
        </w:tc>
        <w:tc>
          <w:tcPr>
            <w:tcW w:w="846" w:type="dxa"/>
            <w:tcBorders>
              <w:top w:val="single" w:sz="4" w:space="0" w:color="auto"/>
              <w:left w:val="single" w:sz="4" w:space="0" w:color="auto"/>
              <w:bottom w:val="single" w:sz="4" w:space="0" w:color="auto"/>
              <w:right w:val="single" w:sz="4" w:space="0" w:color="auto"/>
            </w:tcBorders>
          </w:tcPr>
          <w:p w14:paraId="611A8B02" w14:textId="7EC86D6A" w:rsidR="00705E0B" w:rsidRPr="004B4065" w:rsidRDefault="00DD4DF7" w:rsidP="00241351">
            <w:pPr>
              <w:pStyle w:val="ListParagraph"/>
              <w:ind w:left="0"/>
              <w:jc w:val="center"/>
            </w:pPr>
            <w:r>
              <w:t>-</w:t>
            </w:r>
          </w:p>
        </w:tc>
        <w:tc>
          <w:tcPr>
            <w:tcW w:w="658" w:type="dxa"/>
            <w:tcBorders>
              <w:top w:val="single" w:sz="4" w:space="0" w:color="auto"/>
              <w:left w:val="single" w:sz="4" w:space="0" w:color="auto"/>
              <w:bottom w:val="single" w:sz="4" w:space="0" w:color="auto"/>
              <w:right w:val="single" w:sz="4" w:space="0" w:color="auto"/>
            </w:tcBorders>
          </w:tcPr>
          <w:p w14:paraId="5253C4E3" w14:textId="3FAA7216" w:rsidR="00705E0B" w:rsidRPr="004B4065" w:rsidRDefault="00DD4DF7" w:rsidP="00241351">
            <w:pPr>
              <w:pStyle w:val="ListParagraph"/>
              <w:ind w:left="0"/>
              <w:jc w:val="center"/>
            </w:pPr>
            <w:r>
              <w:t>-25</w:t>
            </w:r>
          </w:p>
        </w:tc>
        <w:tc>
          <w:tcPr>
            <w:tcW w:w="822" w:type="dxa"/>
            <w:tcBorders>
              <w:top w:val="single" w:sz="4" w:space="0" w:color="auto"/>
              <w:left w:val="single" w:sz="4" w:space="0" w:color="auto"/>
              <w:bottom w:val="single" w:sz="4" w:space="0" w:color="auto"/>
              <w:right w:val="single" w:sz="4" w:space="0" w:color="auto"/>
            </w:tcBorders>
          </w:tcPr>
          <w:p w14:paraId="72B50749" w14:textId="77777777" w:rsidR="00705E0B" w:rsidRPr="004B4065" w:rsidRDefault="00705E0B" w:rsidP="00705E0B">
            <w:pPr>
              <w:pStyle w:val="ListParagraph"/>
              <w:ind w:left="0"/>
            </w:pPr>
          </w:p>
        </w:tc>
        <w:tc>
          <w:tcPr>
            <w:tcW w:w="788" w:type="dxa"/>
            <w:tcBorders>
              <w:top w:val="single" w:sz="4" w:space="0" w:color="auto"/>
              <w:left w:val="single" w:sz="4" w:space="0" w:color="auto"/>
              <w:bottom w:val="single" w:sz="4" w:space="0" w:color="auto"/>
              <w:right w:val="single" w:sz="4" w:space="0" w:color="auto"/>
            </w:tcBorders>
          </w:tcPr>
          <w:p w14:paraId="25E57F05" w14:textId="77777777" w:rsidR="00705E0B" w:rsidRPr="004B4065" w:rsidRDefault="00705E0B" w:rsidP="00705E0B">
            <w:pPr>
              <w:pStyle w:val="ListParagraph"/>
              <w:ind w:left="0"/>
            </w:pPr>
          </w:p>
        </w:tc>
      </w:tr>
      <w:tr w:rsidR="00705E0B" w:rsidRPr="00423529" w14:paraId="2D390374" w14:textId="77777777" w:rsidTr="00FC0D29">
        <w:tc>
          <w:tcPr>
            <w:tcW w:w="2467" w:type="dxa"/>
            <w:tcBorders>
              <w:top w:val="single" w:sz="4" w:space="0" w:color="auto"/>
              <w:left w:val="single" w:sz="4" w:space="0" w:color="auto"/>
              <w:bottom w:val="single" w:sz="4" w:space="0" w:color="auto"/>
              <w:right w:val="single" w:sz="4" w:space="0" w:color="auto"/>
            </w:tcBorders>
          </w:tcPr>
          <w:p w14:paraId="140A7D77" w14:textId="1E7B5432" w:rsidR="00705E0B" w:rsidRPr="004B4065" w:rsidRDefault="00705E0B" w:rsidP="00705E0B">
            <w:pPr>
              <w:pStyle w:val="ListParagraph"/>
              <w:ind w:left="0"/>
            </w:pPr>
            <w:r w:rsidRPr="004B4065">
              <w:t xml:space="preserve">Deadhorse </w:t>
            </w:r>
            <w:r w:rsidR="00D733F0" w:rsidRPr="004B4065">
              <w:t xml:space="preserve"> </w:t>
            </w:r>
          </w:p>
        </w:tc>
        <w:tc>
          <w:tcPr>
            <w:tcW w:w="643" w:type="dxa"/>
            <w:tcBorders>
              <w:top w:val="single" w:sz="4" w:space="0" w:color="auto"/>
              <w:left w:val="single" w:sz="4" w:space="0" w:color="auto"/>
              <w:bottom w:val="single" w:sz="4" w:space="0" w:color="auto"/>
              <w:right w:val="single" w:sz="4" w:space="0" w:color="auto"/>
            </w:tcBorders>
          </w:tcPr>
          <w:p w14:paraId="717BFFB7" w14:textId="1886E101" w:rsidR="00705E0B" w:rsidRPr="004B4065" w:rsidRDefault="00DD4DF7" w:rsidP="00705E0B">
            <w:pPr>
              <w:pStyle w:val="ListParagraph"/>
              <w:ind w:left="0"/>
            </w:pPr>
            <w:r>
              <w:t>78</w:t>
            </w:r>
          </w:p>
        </w:tc>
        <w:tc>
          <w:tcPr>
            <w:tcW w:w="755" w:type="dxa"/>
            <w:tcBorders>
              <w:top w:val="single" w:sz="4" w:space="0" w:color="auto"/>
              <w:left w:val="single" w:sz="4" w:space="0" w:color="auto"/>
              <w:bottom w:val="single" w:sz="4" w:space="0" w:color="auto"/>
              <w:right w:val="single" w:sz="4" w:space="0" w:color="auto"/>
            </w:tcBorders>
          </w:tcPr>
          <w:p w14:paraId="3D0E063E" w14:textId="77777777" w:rsidR="00705E0B" w:rsidRPr="004B4065" w:rsidRDefault="00705E0B" w:rsidP="00705E0B">
            <w:pPr>
              <w:pStyle w:val="ListParagraph"/>
              <w:ind w:left="0"/>
            </w:pPr>
          </w:p>
        </w:tc>
        <w:tc>
          <w:tcPr>
            <w:tcW w:w="740" w:type="dxa"/>
            <w:tcBorders>
              <w:top w:val="single" w:sz="4" w:space="0" w:color="auto"/>
              <w:left w:val="single" w:sz="4" w:space="0" w:color="auto"/>
              <w:bottom w:val="single" w:sz="4" w:space="0" w:color="auto"/>
              <w:right w:val="single" w:sz="4" w:space="0" w:color="auto"/>
            </w:tcBorders>
          </w:tcPr>
          <w:p w14:paraId="5E124E9D" w14:textId="46AD757F" w:rsidR="00705E0B" w:rsidRPr="004B4065" w:rsidRDefault="00DD4DF7" w:rsidP="0022043C">
            <w:pPr>
              <w:pStyle w:val="ListParagraph"/>
              <w:ind w:left="0"/>
              <w:jc w:val="center"/>
            </w:pPr>
            <w:r>
              <w:t>1-</w:t>
            </w:r>
          </w:p>
        </w:tc>
        <w:tc>
          <w:tcPr>
            <w:tcW w:w="842" w:type="dxa"/>
            <w:tcBorders>
              <w:top w:val="single" w:sz="4" w:space="0" w:color="auto"/>
              <w:left w:val="single" w:sz="4" w:space="0" w:color="auto"/>
              <w:bottom w:val="single" w:sz="4" w:space="0" w:color="auto"/>
              <w:right w:val="single" w:sz="4" w:space="0" w:color="auto"/>
            </w:tcBorders>
          </w:tcPr>
          <w:p w14:paraId="7F5ED1EB" w14:textId="356B09BB" w:rsidR="00705E0B" w:rsidRPr="004B4065" w:rsidRDefault="0022043C" w:rsidP="0022043C">
            <w:pPr>
              <w:pStyle w:val="ListParagraph"/>
              <w:ind w:left="0"/>
              <w:jc w:val="center"/>
            </w:pPr>
            <w:r w:rsidRPr="004B4065">
              <w:t>--</w:t>
            </w:r>
          </w:p>
        </w:tc>
        <w:tc>
          <w:tcPr>
            <w:tcW w:w="779" w:type="dxa"/>
            <w:tcBorders>
              <w:top w:val="single" w:sz="4" w:space="0" w:color="auto"/>
              <w:left w:val="single" w:sz="4" w:space="0" w:color="auto"/>
              <w:bottom w:val="single" w:sz="4" w:space="0" w:color="auto"/>
              <w:right w:val="single" w:sz="4" w:space="0" w:color="auto"/>
            </w:tcBorders>
          </w:tcPr>
          <w:p w14:paraId="73A8325B" w14:textId="21E77231" w:rsidR="00705E0B" w:rsidRPr="004B4065" w:rsidRDefault="00DD4DF7" w:rsidP="0022043C">
            <w:pPr>
              <w:pStyle w:val="ListParagraph"/>
              <w:ind w:left="0"/>
              <w:jc w:val="center"/>
            </w:pPr>
            <w:r>
              <w:t>15</w:t>
            </w:r>
          </w:p>
        </w:tc>
        <w:tc>
          <w:tcPr>
            <w:tcW w:w="846" w:type="dxa"/>
            <w:tcBorders>
              <w:top w:val="single" w:sz="4" w:space="0" w:color="auto"/>
              <w:left w:val="single" w:sz="4" w:space="0" w:color="auto"/>
              <w:bottom w:val="single" w:sz="4" w:space="0" w:color="auto"/>
              <w:right w:val="single" w:sz="4" w:space="0" w:color="auto"/>
            </w:tcBorders>
          </w:tcPr>
          <w:p w14:paraId="16A0D55B" w14:textId="7A3F4228" w:rsidR="00705E0B" w:rsidRPr="004B4065" w:rsidRDefault="00705E0B" w:rsidP="00705E0B">
            <w:pPr>
              <w:pStyle w:val="ListParagraph"/>
              <w:ind w:left="0"/>
            </w:pPr>
          </w:p>
        </w:tc>
        <w:tc>
          <w:tcPr>
            <w:tcW w:w="658" w:type="dxa"/>
            <w:tcBorders>
              <w:top w:val="single" w:sz="4" w:space="0" w:color="auto"/>
              <w:left w:val="single" w:sz="4" w:space="0" w:color="auto"/>
              <w:bottom w:val="single" w:sz="4" w:space="0" w:color="auto"/>
              <w:right w:val="single" w:sz="4" w:space="0" w:color="auto"/>
            </w:tcBorders>
          </w:tcPr>
          <w:p w14:paraId="3325C71F" w14:textId="77777777" w:rsidR="00705E0B" w:rsidRPr="004B4065" w:rsidRDefault="00705E0B" w:rsidP="00705E0B">
            <w:pPr>
              <w:pStyle w:val="ListParagraph"/>
              <w:ind w:left="0"/>
            </w:pPr>
          </w:p>
        </w:tc>
        <w:tc>
          <w:tcPr>
            <w:tcW w:w="822" w:type="dxa"/>
            <w:tcBorders>
              <w:top w:val="single" w:sz="4" w:space="0" w:color="auto"/>
              <w:left w:val="single" w:sz="4" w:space="0" w:color="auto"/>
              <w:bottom w:val="single" w:sz="4" w:space="0" w:color="auto"/>
              <w:right w:val="single" w:sz="4" w:space="0" w:color="auto"/>
            </w:tcBorders>
          </w:tcPr>
          <w:p w14:paraId="4B54B98B" w14:textId="77777777" w:rsidR="00705E0B" w:rsidRPr="004B4065" w:rsidRDefault="00705E0B" w:rsidP="00705E0B">
            <w:pPr>
              <w:pStyle w:val="ListParagraph"/>
              <w:ind w:left="0"/>
            </w:pPr>
          </w:p>
        </w:tc>
        <w:tc>
          <w:tcPr>
            <w:tcW w:w="788" w:type="dxa"/>
            <w:tcBorders>
              <w:top w:val="single" w:sz="4" w:space="0" w:color="auto"/>
              <w:left w:val="single" w:sz="4" w:space="0" w:color="auto"/>
              <w:bottom w:val="single" w:sz="4" w:space="0" w:color="auto"/>
              <w:right w:val="single" w:sz="4" w:space="0" w:color="auto"/>
            </w:tcBorders>
          </w:tcPr>
          <w:p w14:paraId="0C5ED5B4" w14:textId="67D9FD87" w:rsidR="00705E0B" w:rsidRPr="004B4065" w:rsidRDefault="00705E0B" w:rsidP="00705E0B">
            <w:pPr>
              <w:pStyle w:val="ListParagraph"/>
              <w:ind w:left="0"/>
            </w:pPr>
          </w:p>
        </w:tc>
      </w:tr>
    </w:tbl>
    <w:p w14:paraId="1C624A23" w14:textId="77777777" w:rsidR="003502C5" w:rsidRPr="00423529" w:rsidRDefault="003502C5" w:rsidP="003502C5">
      <w:pPr>
        <w:widowControl w:val="0"/>
        <w:autoSpaceDE w:val="0"/>
        <w:autoSpaceDN w:val="0"/>
        <w:adjustRightInd w:val="0"/>
        <w:ind w:left="0"/>
        <w:rPr>
          <w:rFonts w:eastAsia="Times New Roman"/>
          <w:b/>
          <w:bCs/>
          <w:noProof/>
          <w:color w:val="000000"/>
          <w:sz w:val="22"/>
          <w:szCs w:val="22"/>
        </w:rPr>
      </w:pPr>
    </w:p>
    <w:p w14:paraId="04DE6157" w14:textId="44499117" w:rsidR="00241CC7" w:rsidRDefault="00241CC7" w:rsidP="007256C3">
      <w:pPr>
        <w:pStyle w:val="ListParagraph"/>
        <w:numPr>
          <w:ilvl w:val="2"/>
          <w:numId w:val="1"/>
        </w:numPr>
      </w:pPr>
      <w:r w:rsidRPr="00423529">
        <w:t xml:space="preserve">Results from all implementation and monitoring identified as part of the proposed action, including required move-trigger and end-of-season monitoring (i.e., stubble </w:t>
      </w:r>
      <w:r w:rsidR="00E0027D" w:rsidRPr="00423529">
        <w:t>height, riparian shrub utilization, streambank alteration), seral condition, bank stability, water temperature, sediment, and width-to-depth ration.</w:t>
      </w:r>
    </w:p>
    <w:p w14:paraId="554FFBBE" w14:textId="77777777" w:rsidR="00A51068" w:rsidRDefault="00A51068" w:rsidP="00A51068">
      <w:pPr>
        <w:pStyle w:val="ListParagraph"/>
        <w:ind w:left="900"/>
      </w:pPr>
    </w:p>
    <w:p w14:paraId="6CEC5B3C" w14:textId="15F2EC82" w:rsidR="00A51068" w:rsidRDefault="00A51068" w:rsidP="00B27959">
      <w:pPr>
        <w:pStyle w:val="ListParagraph"/>
        <w:numPr>
          <w:ilvl w:val="0"/>
          <w:numId w:val="5"/>
        </w:numPr>
      </w:pPr>
      <w:r>
        <w:t xml:space="preserve">Table 4 shows end of season monitoring completed.  Table 5 and 6 show Long -Term monitoring on Lower Bear Gulch DMA and Deadhorse DMA.  Lower Bear Gulch has data collected in 2014 and 2020, resulting in establishing a trend.  Deadhorse DMA was installed and first read in 2020. </w:t>
      </w:r>
    </w:p>
    <w:p w14:paraId="1F7ACB02" w14:textId="77777777" w:rsidR="00A51068" w:rsidRDefault="00A51068" w:rsidP="00A51068">
      <w:pPr>
        <w:ind w:left="0"/>
        <w:rPr>
          <w:b/>
        </w:rPr>
      </w:pPr>
    </w:p>
    <w:p w14:paraId="27C5CCFD" w14:textId="1160C85B" w:rsidR="00844489" w:rsidRPr="00423529" w:rsidRDefault="00844489" w:rsidP="0059449C">
      <w:r w:rsidRPr="00423529">
        <w:rPr>
          <w:b/>
        </w:rPr>
        <w:t>Table 4.</w:t>
      </w:r>
      <w:r w:rsidRPr="00423529">
        <w:t xml:space="preserve"> Bear Gulch Allotment monitoring 20</w:t>
      </w:r>
      <w:r w:rsidR="006E521F" w:rsidRPr="00423529">
        <w:t>2</w:t>
      </w:r>
      <w:r w:rsidR="00731EEB">
        <w:t>1</w:t>
      </w:r>
      <w:r w:rsidR="00A51068">
        <w:t>-End of Season</w:t>
      </w:r>
    </w:p>
    <w:tbl>
      <w:tblPr>
        <w:tblStyle w:val="TableGrid"/>
        <w:tblW w:w="0" w:type="auto"/>
        <w:tblInd w:w="-5" w:type="dxa"/>
        <w:tblLayout w:type="fixed"/>
        <w:tblLook w:val="04A0" w:firstRow="1" w:lastRow="0" w:firstColumn="1" w:lastColumn="0" w:noHBand="0" w:noVBand="1"/>
      </w:tblPr>
      <w:tblGrid>
        <w:gridCol w:w="1437"/>
        <w:gridCol w:w="1352"/>
        <w:gridCol w:w="1230"/>
        <w:gridCol w:w="1412"/>
        <w:gridCol w:w="1242"/>
        <w:gridCol w:w="1010"/>
        <w:gridCol w:w="1672"/>
      </w:tblGrid>
      <w:tr w:rsidR="00D13F47" w:rsidRPr="00423529" w14:paraId="73CDB17E" w14:textId="77777777" w:rsidTr="0059449C">
        <w:tc>
          <w:tcPr>
            <w:tcW w:w="1437" w:type="dxa"/>
          </w:tcPr>
          <w:p w14:paraId="5685AE81" w14:textId="5B173DAA" w:rsidR="00D13F47" w:rsidRPr="00423529" w:rsidRDefault="0059449C" w:rsidP="00D13F47">
            <w:pPr>
              <w:pStyle w:val="ListParagraph"/>
              <w:ind w:left="0"/>
              <w:rPr>
                <w:rFonts w:eastAsia="Times New Roman"/>
                <w:b/>
                <w:color w:val="000000"/>
                <w:sz w:val="22"/>
                <w:szCs w:val="22"/>
              </w:rPr>
            </w:pPr>
            <w:r>
              <w:rPr>
                <w:rFonts w:eastAsia="Times New Roman"/>
                <w:b/>
                <w:color w:val="000000"/>
                <w:sz w:val="22"/>
                <w:szCs w:val="22"/>
              </w:rPr>
              <w:t>Pasture</w:t>
            </w:r>
          </w:p>
        </w:tc>
        <w:tc>
          <w:tcPr>
            <w:tcW w:w="1352" w:type="dxa"/>
          </w:tcPr>
          <w:p w14:paraId="34AEC2C2" w14:textId="7777777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Greenline</w:t>
            </w:r>
          </w:p>
          <w:p w14:paraId="61847E07" w14:textId="10BAD301"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Stubble Height</w:t>
            </w:r>
          </w:p>
        </w:tc>
        <w:tc>
          <w:tcPr>
            <w:tcW w:w="1230" w:type="dxa"/>
          </w:tcPr>
          <w:p w14:paraId="22FF0DBE" w14:textId="7777777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Greenline</w:t>
            </w:r>
          </w:p>
          <w:p w14:paraId="32E3B35A" w14:textId="4C2C1FCA"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Stubble Height use limit</w:t>
            </w:r>
          </w:p>
        </w:tc>
        <w:tc>
          <w:tcPr>
            <w:tcW w:w="1412" w:type="dxa"/>
          </w:tcPr>
          <w:p w14:paraId="6464513F" w14:textId="0E905316"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Bank Alteration</w:t>
            </w:r>
          </w:p>
        </w:tc>
        <w:tc>
          <w:tcPr>
            <w:tcW w:w="1242" w:type="dxa"/>
          </w:tcPr>
          <w:p w14:paraId="778DB7A6" w14:textId="2982309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Bank Alteration use limit</w:t>
            </w:r>
          </w:p>
        </w:tc>
        <w:tc>
          <w:tcPr>
            <w:tcW w:w="1010" w:type="dxa"/>
          </w:tcPr>
          <w:p w14:paraId="12CB4C60" w14:textId="1C3FC528"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Woody Browse</w:t>
            </w:r>
          </w:p>
        </w:tc>
        <w:tc>
          <w:tcPr>
            <w:tcW w:w="1672" w:type="dxa"/>
          </w:tcPr>
          <w:p w14:paraId="1C3DB61A" w14:textId="672C0F95"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Wood Browse use limit</w:t>
            </w:r>
          </w:p>
        </w:tc>
      </w:tr>
      <w:tr w:rsidR="00D13F47" w:rsidRPr="00423529" w14:paraId="04BF1629" w14:textId="77777777" w:rsidTr="0059449C">
        <w:tc>
          <w:tcPr>
            <w:tcW w:w="1437" w:type="dxa"/>
          </w:tcPr>
          <w:p w14:paraId="351F30C6" w14:textId="7522BB85" w:rsidR="00D13F47" w:rsidRPr="00423529" w:rsidRDefault="00D13F47" w:rsidP="00D13F47">
            <w:pPr>
              <w:pStyle w:val="ListParagraph"/>
              <w:ind w:left="0"/>
              <w:rPr>
                <w:sz w:val="20"/>
                <w:szCs w:val="20"/>
              </w:rPr>
            </w:pPr>
            <w:r w:rsidRPr="00423529">
              <w:rPr>
                <w:sz w:val="20"/>
                <w:szCs w:val="20"/>
              </w:rPr>
              <w:t>Deadhorse</w:t>
            </w:r>
            <w:r w:rsidR="000649FC" w:rsidRPr="00423529">
              <w:rPr>
                <w:sz w:val="20"/>
                <w:szCs w:val="20"/>
              </w:rPr>
              <w:t xml:space="preserve"> (Trigger</w:t>
            </w:r>
            <w:r w:rsidR="005B3401" w:rsidRPr="00423529">
              <w:rPr>
                <w:sz w:val="20"/>
                <w:szCs w:val="20"/>
              </w:rPr>
              <w:t xml:space="preserve">) </w:t>
            </w:r>
          </w:p>
        </w:tc>
        <w:tc>
          <w:tcPr>
            <w:tcW w:w="1352" w:type="dxa"/>
          </w:tcPr>
          <w:p w14:paraId="089EFB78" w14:textId="5E004711" w:rsidR="00D13F47" w:rsidRPr="00423529" w:rsidRDefault="001F0992" w:rsidP="00D13F47">
            <w:pPr>
              <w:ind w:left="0"/>
              <w:contextualSpacing/>
              <w:rPr>
                <w:sz w:val="20"/>
                <w:szCs w:val="20"/>
              </w:rPr>
            </w:pPr>
            <w:r>
              <w:rPr>
                <w:sz w:val="20"/>
                <w:szCs w:val="20"/>
              </w:rPr>
              <w:t>Not measured</w:t>
            </w:r>
          </w:p>
        </w:tc>
        <w:tc>
          <w:tcPr>
            <w:tcW w:w="1230" w:type="dxa"/>
          </w:tcPr>
          <w:p w14:paraId="5621CE69" w14:textId="06B00A1D" w:rsidR="00D13F47" w:rsidRPr="00423529" w:rsidRDefault="00D13F47" w:rsidP="00D13F47">
            <w:pPr>
              <w:ind w:left="0"/>
              <w:rPr>
                <w:sz w:val="20"/>
                <w:szCs w:val="20"/>
              </w:rPr>
            </w:pPr>
            <w:r w:rsidRPr="00423529">
              <w:rPr>
                <w:sz w:val="20"/>
                <w:szCs w:val="20"/>
              </w:rPr>
              <w:t>&gt; 6 inches</w:t>
            </w:r>
          </w:p>
        </w:tc>
        <w:tc>
          <w:tcPr>
            <w:tcW w:w="1412" w:type="dxa"/>
          </w:tcPr>
          <w:p w14:paraId="69F8653D" w14:textId="171644DE" w:rsidR="00D13F47" w:rsidRPr="00423529" w:rsidRDefault="00D13F47" w:rsidP="00D13F47">
            <w:pPr>
              <w:ind w:left="0"/>
              <w:contextualSpacing/>
              <w:rPr>
                <w:sz w:val="20"/>
                <w:szCs w:val="20"/>
              </w:rPr>
            </w:pPr>
          </w:p>
        </w:tc>
        <w:tc>
          <w:tcPr>
            <w:tcW w:w="1242" w:type="dxa"/>
          </w:tcPr>
          <w:p w14:paraId="7950BFDB" w14:textId="55B2B869" w:rsidR="00D13F47" w:rsidRPr="00423529" w:rsidRDefault="00D13F47" w:rsidP="00D13F47">
            <w:pPr>
              <w:ind w:left="0"/>
              <w:contextualSpacing/>
              <w:rPr>
                <w:sz w:val="20"/>
                <w:szCs w:val="20"/>
              </w:rPr>
            </w:pPr>
            <w:r w:rsidRPr="00423529">
              <w:rPr>
                <w:sz w:val="20"/>
                <w:szCs w:val="20"/>
              </w:rPr>
              <w:t>20% or less</w:t>
            </w:r>
          </w:p>
        </w:tc>
        <w:tc>
          <w:tcPr>
            <w:tcW w:w="1010" w:type="dxa"/>
          </w:tcPr>
          <w:p w14:paraId="29DD2793" w14:textId="4C5CC6CC" w:rsidR="00D13F47" w:rsidRPr="00423529" w:rsidRDefault="00D13F47" w:rsidP="00D13F47">
            <w:pPr>
              <w:ind w:left="0"/>
              <w:contextualSpacing/>
              <w:rPr>
                <w:sz w:val="20"/>
                <w:szCs w:val="20"/>
              </w:rPr>
            </w:pPr>
          </w:p>
        </w:tc>
        <w:tc>
          <w:tcPr>
            <w:tcW w:w="1672" w:type="dxa"/>
          </w:tcPr>
          <w:p w14:paraId="2444055A" w14:textId="0BD6AB4B" w:rsidR="00D13F47" w:rsidRPr="00423529" w:rsidRDefault="00D13F47" w:rsidP="00D13F47">
            <w:pPr>
              <w:ind w:left="0"/>
              <w:contextualSpacing/>
              <w:rPr>
                <w:sz w:val="20"/>
                <w:szCs w:val="20"/>
              </w:rPr>
            </w:pPr>
            <w:r w:rsidRPr="00423529">
              <w:rPr>
                <w:sz w:val="20"/>
                <w:szCs w:val="20"/>
              </w:rPr>
              <w:t>40 % or less</w:t>
            </w:r>
          </w:p>
        </w:tc>
      </w:tr>
      <w:tr w:rsidR="005B3401" w:rsidRPr="00423529" w14:paraId="7BD68247" w14:textId="77777777" w:rsidTr="0059449C">
        <w:tc>
          <w:tcPr>
            <w:tcW w:w="1437" w:type="dxa"/>
          </w:tcPr>
          <w:p w14:paraId="545CC4BB" w14:textId="6E85FC62" w:rsidR="005B3401" w:rsidRPr="00423529" w:rsidRDefault="005B3401" w:rsidP="00D13F47">
            <w:pPr>
              <w:pStyle w:val="ListParagraph"/>
              <w:ind w:left="0"/>
              <w:rPr>
                <w:sz w:val="20"/>
                <w:szCs w:val="20"/>
              </w:rPr>
            </w:pPr>
            <w:r w:rsidRPr="00423529">
              <w:rPr>
                <w:sz w:val="20"/>
                <w:szCs w:val="20"/>
              </w:rPr>
              <w:t>Deadhorse</w:t>
            </w:r>
            <w:r w:rsidR="009F0775" w:rsidRPr="00423529">
              <w:rPr>
                <w:sz w:val="20"/>
                <w:szCs w:val="20"/>
              </w:rPr>
              <w:t xml:space="preserve"> (EOS)</w:t>
            </w:r>
          </w:p>
        </w:tc>
        <w:tc>
          <w:tcPr>
            <w:tcW w:w="1352" w:type="dxa"/>
          </w:tcPr>
          <w:p w14:paraId="05F42AB4" w14:textId="143DBBAB" w:rsidR="005B3401" w:rsidRPr="00423529" w:rsidRDefault="00DD4DF7" w:rsidP="00D13F47">
            <w:pPr>
              <w:ind w:left="0"/>
              <w:contextualSpacing/>
              <w:rPr>
                <w:sz w:val="20"/>
                <w:szCs w:val="20"/>
              </w:rPr>
            </w:pPr>
            <w:r>
              <w:rPr>
                <w:sz w:val="20"/>
                <w:szCs w:val="20"/>
              </w:rPr>
              <w:t>7</w:t>
            </w:r>
            <w:r w:rsidR="00FB3FE3" w:rsidRPr="00423529">
              <w:rPr>
                <w:sz w:val="20"/>
                <w:szCs w:val="20"/>
              </w:rPr>
              <w:t xml:space="preserve"> inches</w:t>
            </w:r>
          </w:p>
        </w:tc>
        <w:tc>
          <w:tcPr>
            <w:tcW w:w="1230" w:type="dxa"/>
          </w:tcPr>
          <w:p w14:paraId="0316FD08" w14:textId="4179E6D5" w:rsidR="005B3401" w:rsidRPr="00423529" w:rsidRDefault="00FB3FE3" w:rsidP="00D13F47">
            <w:pPr>
              <w:ind w:left="0"/>
              <w:rPr>
                <w:sz w:val="20"/>
                <w:szCs w:val="20"/>
              </w:rPr>
            </w:pPr>
            <w:r w:rsidRPr="00423529">
              <w:rPr>
                <w:sz w:val="20"/>
                <w:szCs w:val="20"/>
              </w:rPr>
              <w:t>&gt; 6 inches</w:t>
            </w:r>
          </w:p>
        </w:tc>
        <w:tc>
          <w:tcPr>
            <w:tcW w:w="1412" w:type="dxa"/>
          </w:tcPr>
          <w:p w14:paraId="23F5D3E1" w14:textId="732112EE" w:rsidR="005B3401" w:rsidRPr="00423529" w:rsidRDefault="00DD4DF7" w:rsidP="00D13F47">
            <w:pPr>
              <w:ind w:left="0"/>
              <w:contextualSpacing/>
              <w:rPr>
                <w:sz w:val="20"/>
                <w:szCs w:val="20"/>
              </w:rPr>
            </w:pPr>
            <w:r>
              <w:rPr>
                <w:sz w:val="20"/>
                <w:szCs w:val="20"/>
              </w:rPr>
              <w:t>9</w:t>
            </w:r>
            <w:r w:rsidR="00183129">
              <w:rPr>
                <w:sz w:val="20"/>
                <w:szCs w:val="20"/>
              </w:rPr>
              <w:t>%</w:t>
            </w:r>
          </w:p>
        </w:tc>
        <w:tc>
          <w:tcPr>
            <w:tcW w:w="1242" w:type="dxa"/>
          </w:tcPr>
          <w:p w14:paraId="28CE2C85" w14:textId="2A8CB54A" w:rsidR="005B3401" w:rsidRPr="00423529" w:rsidRDefault="00FB3FE3" w:rsidP="00D13F47">
            <w:pPr>
              <w:ind w:left="0"/>
              <w:contextualSpacing/>
              <w:rPr>
                <w:sz w:val="20"/>
                <w:szCs w:val="20"/>
              </w:rPr>
            </w:pPr>
            <w:r w:rsidRPr="00423529">
              <w:rPr>
                <w:sz w:val="20"/>
                <w:szCs w:val="20"/>
              </w:rPr>
              <w:t>20% or less</w:t>
            </w:r>
          </w:p>
        </w:tc>
        <w:tc>
          <w:tcPr>
            <w:tcW w:w="1010" w:type="dxa"/>
          </w:tcPr>
          <w:p w14:paraId="088EA344" w14:textId="70ECBF8A" w:rsidR="005B3401" w:rsidRPr="00423529" w:rsidRDefault="00FB3FE3" w:rsidP="00D13F47">
            <w:pPr>
              <w:ind w:left="0"/>
              <w:contextualSpacing/>
              <w:rPr>
                <w:sz w:val="20"/>
                <w:szCs w:val="20"/>
              </w:rPr>
            </w:pPr>
            <w:r w:rsidRPr="00423529">
              <w:rPr>
                <w:sz w:val="20"/>
                <w:szCs w:val="20"/>
              </w:rPr>
              <w:t>1</w:t>
            </w:r>
            <w:r w:rsidR="00DD4DF7">
              <w:rPr>
                <w:sz w:val="20"/>
                <w:szCs w:val="20"/>
              </w:rPr>
              <w:t>8</w:t>
            </w:r>
            <w:r w:rsidRPr="00423529">
              <w:rPr>
                <w:sz w:val="20"/>
                <w:szCs w:val="20"/>
              </w:rPr>
              <w:t>%</w:t>
            </w:r>
          </w:p>
        </w:tc>
        <w:tc>
          <w:tcPr>
            <w:tcW w:w="1672" w:type="dxa"/>
          </w:tcPr>
          <w:p w14:paraId="631A1CFA" w14:textId="7B2DA17B" w:rsidR="005B3401" w:rsidRPr="00423529" w:rsidRDefault="00FB3FE3" w:rsidP="00D13F47">
            <w:pPr>
              <w:ind w:left="0"/>
              <w:contextualSpacing/>
              <w:rPr>
                <w:sz w:val="20"/>
                <w:szCs w:val="20"/>
              </w:rPr>
            </w:pPr>
            <w:r w:rsidRPr="00423529">
              <w:rPr>
                <w:sz w:val="20"/>
                <w:szCs w:val="20"/>
              </w:rPr>
              <w:t>40 % or less</w:t>
            </w:r>
          </w:p>
        </w:tc>
      </w:tr>
      <w:tr w:rsidR="00D13F47" w:rsidRPr="00423529" w14:paraId="7C06F8DB" w14:textId="77777777" w:rsidTr="0059449C">
        <w:tc>
          <w:tcPr>
            <w:tcW w:w="1437" w:type="dxa"/>
          </w:tcPr>
          <w:p w14:paraId="71CDC773" w14:textId="07EBB843" w:rsidR="00D13F47" w:rsidRPr="00423529" w:rsidRDefault="00D13F47" w:rsidP="00D13F47">
            <w:pPr>
              <w:pStyle w:val="ListParagraph"/>
              <w:ind w:left="0"/>
              <w:rPr>
                <w:sz w:val="20"/>
                <w:szCs w:val="20"/>
              </w:rPr>
            </w:pPr>
            <w:r w:rsidRPr="00423529">
              <w:rPr>
                <w:sz w:val="20"/>
                <w:szCs w:val="20"/>
              </w:rPr>
              <w:t>Lower Bear Gulch</w:t>
            </w:r>
          </w:p>
        </w:tc>
        <w:tc>
          <w:tcPr>
            <w:tcW w:w="1352" w:type="dxa"/>
          </w:tcPr>
          <w:p w14:paraId="7E6980AF" w14:textId="457CFDC7" w:rsidR="00D13F47" w:rsidRPr="00423529" w:rsidRDefault="00D13F47" w:rsidP="00D13F47">
            <w:pPr>
              <w:ind w:left="0"/>
              <w:contextualSpacing/>
              <w:rPr>
                <w:sz w:val="20"/>
                <w:szCs w:val="20"/>
              </w:rPr>
            </w:pPr>
          </w:p>
        </w:tc>
        <w:tc>
          <w:tcPr>
            <w:tcW w:w="1230" w:type="dxa"/>
          </w:tcPr>
          <w:p w14:paraId="307AA7CC" w14:textId="440243AD" w:rsidR="00D13F47" w:rsidRPr="00423529" w:rsidRDefault="00D13F47" w:rsidP="00D13F47">
            <w:pPr>
              <w:ind w:left="0"/>
              <w:contextualSpacing/>
              <w:rPr>
                <w:sz w:val="20"/>
                <w:szCs w:val="20"/>
              </w:rPr>
            </w:pPr>
            <w:r w:rsidRPr="00423529">
              <w:rPr>
                <w:sz w:val="20"/>
                <w:szCs w:val="20"/>
              </w:rPr>
              <w:t>&gt; 6 inches</w:t>
            </w:r>
          </w:p>
        </w:tc>
        <w:tc>
          <w:tcPr>
            <w:tcW w:w="1412" w:type="dxa"/>
          </w:tcPr>
          <w:p w14:paraId="6C83F813" w14:textId="6720A3D1" w:rsidR="00D13F47" w:rsidRPr="00423529" w:rsidRDefault="00D13F47" w:rsidP="00D13F47">
            <w:pPr>
              <w:ind w:left="0"/>
              <w:contextualSpacing/>
              <w:rPr>
                <w:sz w:val="20"/>
                <w:szCs w:val="20"/>
              </w:rPr>
            </w:pPr>
          </w:p>
        </w:tc>
        <w:tc>
          <w:tcPr>
            <w:tcW w:w="1242" w:type="dxa"/>
          </w:tcPr>
          <w:p w14:paraId="1DD0EF3C" w14:textId="4A31BFD7" w:rsidR="00D13F47" w:rsidRPr="00423529" w:rsidRDefault="00D13F47" w:rsidP="00D13F47">
            <w:pPr>
              <w:ind w:left="0"/>
              <w:contextualSpacing/>
              <w:rPr>
                <w:sz w:val="20"/>
                <w:szCs w:val="20"/>
              </w:rPr>
            </w:pPr>
            <w:r w:rsidRPr="00423529">
              <w:rPr>
                <w:sz w:val="20"/>
                <w:szCs w:val="20"/>
              </w:rPr>
              <w:t>20% or less</w:t>
            </w:r>
          </w:p>
        </w:tc>
        <w:tc>
          <w:tcPr>
            <w:tcW w:w="1010" w:type="dxa"/>
          </w:tcPr>
          <w:p w14:paraId="73768DDC" w14:textId="6A3971AC" w:rsidR="00D13F47" w:rsidRPr="00423529" w:rsidRDefault="00D13F47" w:rsidP="00D13F47">
            <w:pPr>
              <w:ind w:left="0"/>
              <w:contextualSpacing/>
              <w:rPr>
                <w:sz w:val="20"/>
                <w:szCs w:val="20"/>
              </w:rPr>
            </w:pPr>
          </w:p>
        </w:tc>
        <w:tc>
          <w:tcPr>
            <w:tcW w:w="1672" w:type="dxa"/>
          </w:tcPr>
          <w:p w14:paraId="262D328D" w14:textId="07E4FE95" w:rsidR="00D13F47" w:rsidRPr="00423529" w:rsidRDefault="00E22C6E" w:rsidP="00D13F47">
            <w:pPr>
              <w:ind w:left="0"/>
              <w:contextualSpacing/>
              <w:rPr>
                <w:sz w:val="20"/>
                <w:szCs w:val="20"/>
              </w:rPr>
            </w:pPr>
            <w:r>
              <w:rPr>
                <w:sz w:val="20"/>
                <w:szCs w:val="20"/>
              </w:rPr>
              <w:t>40% or less</w:t>
            </w:r>
          </w:p>
        </w:tc>
      </w:tr>
    </w:tbl>
    <w:p w14:paraId="7B77F965" w14:textId="44A7A12F" w:rsidR="00C23D1B" w:rsidRDefault="00C23D1B" w:rsidP="00A731F1">
      <w:pPr>
        <w:ind w:left="0"/>
        <w:contextualSpacing/>
      </w:pPr>
    </w:p>
    <w:p w14:paraId="6DDF6DE6" w14:textId="77777777" w:rsidR="00C23D1B" w:rsidRPr="00423529" w:rsidRDefault="00C23D1B" w:rsidP="00A731F1">
      <w:pPr>
        <w:ind w:left="0"/>
        <w:contextualSpacing/>
      </w:pPr>
    </w:p>
    <w:p w14:paraId="74DF0414" w14:textId="6B8D4646" w:rsidR="00E0027D" w:rsidRDefault="00E0027D" w:rsidP="007256C3">
      <w:pPr>
        <w:pStyle w:val="ListParagraph"/>
        <w:numPr>
          <w:ilvl w:val="2"/>
          <w:numId w:val="1"/>
        </w:numPr>
      </w:pPr>
      <w:r w:rsidRPr="00423529">
        <w:t>Discussion of any unauthorized use and/or any maintenance issues related to fences or water developments.</w:t>
      </w:r>
    </w:p>
    <w:p w14:paraId="25CDDFF2" w14:textId="77777777" w:rsidR="001C073B" w:rsidRDefault="001C073B" w:rsidP="001C073B">
      <w:pPr>
        <w:pStyle w:val="ListParagraph"/>
        <w:ind w:left="900"/>
      </w:pPr>
    </w:p>
    <w:p w14:paraId="5015A111" w14:textId="5E3933AC" w:rsidR="001C5903" w:rsidRPr="00423529" w:rsidRDefault="00F83D13" w:rsidP="00DD4DF7">
      <w:pPr>
        <w:ind w:left="0"/>
      </w:pPr>
      <w:r>
        <w:t xml:space="preserve">  </w:t>
      </w:r>
    </w:p>
    <w:p w14:paraId="3C125DB7" w14:textId="77777777" w:rsidR="00CE12E9" w:rsidRPr="00423529" w:rsidRDefault="00CE12E9" w:rsidP="00CE12E9">
      <w:pPr>
        <w:pStyle w:val="ListParagraph"/>
        <w:ind w:left="1080"/>
      </w:pPr>
    </w:p>
    <w:p w14:paraId="18D8CBF8" w14:textId="1408389E" w:rsidR="001C5903" w:rsidRDefault="001C5903" w:rsidP="007256C3">
      <w:pPr>
        <w:pStyle w:val="ListParagraph"/>
        <w:numPr>
          <w:ilvl w:val="2"/>
          <w:numId w:val="1"/>
        </w:numPr>
      </w:pPr>
      <w:r w:rsidRPr="00423529">
        <w:t xml:space="preserve">Review of allotment compliance with annual use indicators. For any incidences of non-compliance, describe the WWNF response per the </w:t>
      </w:r>
      <w:r w:rsidR="00D2662D" w:rsidRPr="00423529">
        <w:t>Annual Adaptive Management Strategy in the Proposed Action.</w:t>
      </w:r>
    </w:p>
    <w:p w14:paraId="1A70C1A5" w14:textId="77777777" w:rsidR="00B6526E" w:rsidRPr="00423529" w:rsidRDefault="00B6526E" w:rsidP="00B6526E">
      <w:pPr>
        <w:pStyle w:val="ListParagraph"/>
        <w:ind w:left="900"/>
      </w:pPr>
    </w:p>
    <w:p w14:paraId="5ECC7AFB" w14:textId="77777777" w:rsidR="003B1929" w:rsidRPr="00423529" w:rsidRDefault="003B1929" w:rsidP="003B1929">
      <w:pPr>
        <w:pStyle w:val="ListParagraph"/>
        <w:ind w:left="900"/>
      </w:pPr>
    </w:p>
    <w:p w14:paraId="0F63D4F2" w14:textId="1DF3DCE8" w:rsidR="00D2662D" w:rsidRDefault="00D2662D" w:rsidP="007256C3">
      <w:pPr>
        <w:pStyle w:val="ListParagraph"/>
        <w:numPr>
          <w:ilvl w:val="2"/>
          <w:numId w:val="1"/>
        </w:numPr>
      </w:pPr>
      <w:r w:rsidRPr="00423529">
        <w:t>Detailed description of any adaptive management responses taken by the WWNF as part of the Long-Term</w:t>
      </w:r>
      <w:r w:rsidR="0062353B" w:rsidRPr="00423529">
        <w:t xml:space="preserve"> and Annual Adaptive Management Strategies described in the Proposed Action.</w:t>
      </w:r>
    </w:p>
    <w:p w14:paraId="37BA7115" w14:textId="77777777" w:rsidR="00170D14" w:rsidRPr="00423529" w:rsidRDefault="00170D14" w:rsidP="00DD4DF7">
      <w:pPr>
        <w:ind w:left="0"/>
      </w:pPr>
    </w:p>
    <w:p w14:paraId="630414CE" w14:textId="23DCA9E5" w:rsidR="0062353B" w:rsidRPr="00423529" w:rsidRDefault="0062353B" w:rsidP="007256C3">
      <w:pPr>
        <w:pStyle w:val="ListParagraph"/>
        <w:numPr>
          <w:ilvl w:val="2"/>
          <w:numId w:val="1"/>
        </w:numPr>
      </w:pPr>
      <w:r w:rsidRPr="00423529">
        <w:t xml:space="preserve">Any relevant information that becomes available regarding Snake River Basin steelhead or Snake River spring/summer </w:t>
      </w:r>
      <w:r w:rsidR="002633DB" w:rsidRPr="00423529">
        <w:t>Chinook</w:t>
      </w:r>
      <w:r w:rsidRPr="00423529">
        <w:t xml:space="preserve"> salmon habitat trends and /or spawning locations that would modify the assumptions made in this opinion or result in effects not considered.</w:t>
      </w:r>
    </w:p>
    <w:p w14:paraId="386BFF34" w14:textId="5A3FF98F" w:rsidR="0062353B" w:rsidRPr="00423529" w:rsidRDefault="00127915" w:rsidP="007256C3">
      <w:pPr>
        <w:pStyle w:val="ListParagraph"/>
        <w:numPr>
          <w:ilvl w:val="0"/>
          <w:numId w:val="5"/>
        </w:numPr>
      </w:pPr>
      <w:r w:rsidRPr="00423529">
        <w:lastRenderedPageBreak/>
        <w:t xml:space="preserve">There is no additional data to report.  </w:t>
      </w:r>
    </w:p>
    <w:p w14:paraId="079250C0" w14:textId="602323E3" w:rsidR="00B76E0C" w:rsidRPr="00423529" w:rsidRDefault="002633DB" w:rsidP="007256C3">
      <w:pPr>
        <w:pStyle w:val="ListParagraph"/>
        <w:numPr>
          <w:ilvl w:val="0"/>
          <w:numId w:val="5"/>
        </w:numPr>
      </w:pPr>
      <w:r w:rsidRPr="00423529">
        <w:t xml:space="preserve">Within the Bear Gulch allotment there is only steelhead critical habitat.  </w:t>
      </w:r>
    </w:p>
    <w:p w14:paraId="1852C52C" w14:textId="77777777" w:rsidR="00FC0954" w:rsidRPr="00423529" w:rsidRDefault="00FC0954" w:rsidP="00B76E0C">
      <w:pPr>
        <w:pStyle w:val="ListParagraph"/>
        <w:ind w:left="900"/>
      </w:pPr>
    </w:p>
    <w:p w14:paraId="71E61A60" w14:textId="293EAE0C" w:rsidR="0062353B" w:rsidRPr="00423529" w:rsidRDefault="0062353B" w:rsidP="007256C3">
      <w:pPr>
        <w:pStyle w:val="ListParagraph"/>
        <w:numPr>
          <w:ilvl w:val="2"/>
          <w:numId w:val="1"/>
        </w:numPr>
      </w:pPr>
      <w:r w:rsidRPr="00423529">
        <w:t>Any management recommendations for subsequent years.</w:t>
      </w:r>
    </w:p>
    <w:p w14:paraId="0F77E781" w14:textId="3D3FE9BF" w:rsidR="0024372C" w:rsidRPr="00423529" w:rsidRDefault="0024372C" w:rsidP="007256C3">
      <w:pPr>
        <w:pStyle w:val="ListParagraph"/>
        <w:numPr>
          <w:ilvl w:val="0"/>
          <w:numId w:val="6"/>
        </w:numPr>
      </w:pPr>
      <w:r w:rsidRPr="00423529">
        <w:t>Management recommendations for following years would be:</w:t>
      </w:r>
    </w:p>
    <w:p w14:paraId="05F8F152" w14:textId="7EC39BD8" w:rsidR="0024372C" w:rsidRPr="00423529" w:rsidRDefault="00977B5D" w:rsidP="007256C3">
      <w:pPr>
        <w:pStyle w:val="ListParagraph"/>
        <w:numPr>
          <w:ilvl w:val="0"/>
          <w:numId w:val="2"/>
        </w:numPr>
      </w:pPr>
      <w:r w:rsidRPr="00423529">
        <w:t>Permittee completes</w:t>
      </w:r>
      <w:r w:rsidR="00FC0954" w:rsidRPr="00423529">
        <w:t xml:space="preserve"> mid-season trigger monitoring</w:t>
      </w:r>
      <w:r w:rsidR="00E00F05" w:rsidRPr="00423529">
        <w:t xml:space="preserve"> for 20</w:t>
      </w:r>
      <w:r w:rsidRPr="00423529">
        <w:t>2</w:t>
      </w:r>
      <w:r w:rsidR="00DD4DF7">
        <w:t>3</w:t>
      </w:r>
      <w:r w:rsidR="00917372">
        <w:t xml:space="preserve"> a</w:t>
      </w:r>
      <w:r w:rsidR="001C073B">
        <w:t xml:space="preserve">nd </w:t>
      </w:r>
      <w:r w:rsidR="00A927E5">
        <w:t>annually</w:t>
      </w:r>
      <w:r w:rsidR="001C073B">
        <w:t xml:space="preserve"> thereafter</w:t>
      </w:r>
      <w:r w:rsidR="00FC0954" w:rsidRPr="00423529">
        <w:t>.</w:t>
      </w:r>
    </w:p>
    <w:p w14:paraId="117A2BB4" w14:textId="4B5D3F75" w:rsidR="00FC4C03" w:rsidRDefault="00FC4C03" w:rsidP="00FC4C03">
      <w:pPr>
        <w:pStyle w:val="ListParagraph"/>
        <w:numPr>
          <w:ilvl w:val="0"/>
          <w:numId w:val="2"/>
        </w:numPr>
      </w:pPr>
      <w:r w:rsidRPr="00423529">
        <w:t>Collect EOS riparian monitoring at the Deadhorse and Lower Bear Gulch Pastures DMA on Bear Gulch Creek in 202</w:t>
      </w:r>
      <w:r w:rsidR="00DD4DF7">
        <w:t>3</w:t>
      </w:r>
      <w:r w:rsidRPr="00423529">
        <w:t>.</w:t>
      </w:r>
    </w:p>
    <w:p w14:paraId="756B5331" w14:textId="6881D654" w:rsidR="00096B52" w:rsidRDefault="00556AE3" w:rsidP="00096B52">
      <w:pPr>
        <w:pStyle w:val="ListParagraph"/>
        <w:numPr>
          <w:ilvl w:val="0"/>
          <w:numId w:val="2"/>
        </w:numPr>
      </w:pPr>
      <w:r>
        <w:t>Report the effectiveness data that was collected at the Deadhorse</w:t>
      </w:r>
      <w:r w:rsidR="004E143E">
        <w:t xml:space="preserve"> (Table 6)</w:t>
      </w:r>
      <w:r>
        <w:t xml:space="preserve"> and Lower Bear Gulch pasture DMAs in 2020.  This data </w:t>
      </w:r>
      <w:r w:rsidR="00934EA1">
        <w:t>is</w:t>
      </w:r>
      <w:r>
        <w:t xml:space="preserve"> summarized</w:t>
      </w:r>
      <w:r w:rsidR="00934EA1">
        <w:t xml:space="preserve"> below</w:t>
      </w:r>
      <w:r w:rsidR="004E143E">
        <w:t xml:space="preserve"> (Table 5)</w:t>
      </w:r>
      <w:r w:rsidR="00C23D1B">
        <w:t xml:space="preserve"> and compared with 2014 results</w:t>
      </w:r>
      <w:r>
        <w:t xml:space="preserve">. </w:t>
      </w:r>
      <w:bookmarkStart w:id="3" w:name="_Toc513444309"/>
      <w:r w:rsidR="001C073B">
        <w:t xml:space="preserve">As additional years are added more analysis can be completed and discussed in future reports. </w:t>
      </w:r>
    </w:p>
    <w:p w14:paraId="09ADDDBD" w14:textId="35649800" w:rsidR="00A7016A" w:rsidRDefault="00A7016A" w:rsidP="00096B52">
      <w:pPr>
        <w:pStyle w:val="ListParagraph"/>
        <w:numPr>
          <w:ilvl w:val="0"/>
          <w:numId w:val="2"/>
        </w:numPr>
      </w:pPr>
      <w:r>
        <w:t>The stream runs along a closed road, that has contributed to unstable banks and washouts that have occurred within the past 5 years.  Given opportunity, stream restoration in application of large woody debris would move toward bank recovery.</w:t>
      </w:r>
    </w:p>
    <w:p w14:paraId="3887645A" w14:textId="55149235" w:rsidR="00096B52" w:rsidRPr="00A7016A" w:rsidRDefault="00096B52" w:rsidP="00096B52">
      <w:pPr>
        <w:pStyle w:val="CaptionTable"/>
        <w:rPr>
          <w:rFonts w:ascii="Times New Roman" w:hAnsi="Times New Roman"/>
          <w:sz w:val="24"/>
          <w:szCs w:val="24"/>
        </w:rPr>
      </w:pPr>
      <w:r w:rsidRPr="00A7016A">
        <w:rPr>
          <w:rFonts w:ascii="Times New Roman" w:hAnsi="Times New Roman"/>
          <w:sz w:val="24"/>
          <w:szCs w:val="24"/>
        </w:rPr>
        <w:t xml:space="preserve">Table </w:t>
      </w:r>
      <w:r w:rsidR="00FF300F" w:rsidRPr="00A7016A">
        <w:rPr>
          <w:rFonts w:ascii="Times New Roman" w:hAnsi="Times New Roman"/>
          <w:sz w:val="24"/>
          <w:szCs w:val="24"/>
        </w:rPr>
        <w:t>5</w:t>
      </w:r>
      <w:r w:rsidRPr="00A7016A">
        <w:rPr>
          <w:rFonts w:ascii="Times New Roman" w:hAnsi="Times New Roman"/>
          <w:sz w:val="24"/>
          <w:szCs w:val="24"/>
        </w:rPr>
        <w:t xml:space="preserve">.  Summary for </w:t>
      </w:r>
      <w:r w:rsidR="00934EA1" w:rsidRPr="00A7016A">
        <w:rPr>
          <w:rFonts w:ascii="Times New Roman" w:hAnsi="Times New Roman"/>
          <w:sz w:val="24"/>
          <w:szCs w:val="24"/>
        </w:rPr>
        <w:t>Lower Bear Gulch DMA</w:t>
      </w:r>
      <w:bookmarkEnd w:id="3"/>
    </w:p>
    <w:tbl>
      <w:tblPr>
        <w:tblStyle w:val="TableGrid"/>
        <w:tblW w:w="5148" w:type="pct"/>
        <w:tblLayout w:type="fixed"/>
        <w:tblLook w:val="04A0" w:firstRow="1" w:lastRow="0" w:firstColumn="1" w:lastColumn="0" w:noHBand="0" w:noVBand="1"/>
      </w:tblPr>
      <w:tblGrid>
        <w:gridCol w:w="2246"/>
        <w:gridCol w:w="1171"/>
        <w:gridCol w:w="1169"/>
        <w:gridCol w:w="1263"/>
        <w:gridCol w:w="990"/>
        <w:gridCol w:w="2788"/>
      </w:tblGrid>
      <w:tr w:rsidR="00D46422" w:rsidRPr="005A5857" w14:paraId="4429B71C" w14:textId="77777777" w:rsidTr="00B27959">
        <w:trPr>
          <w:trHeight w:val="289"/>
        </w:trPr>
        <w:tc>
          <w:tcPr>
            <w:tcW w:w="1167" w:type="pct"/>
            <w:shd w:val="clear" w:color="auto" w:fill="FFFFFF" w:themeFill="background1"/>
            <w:noWrap/>
            <w:vAlign w:val="center"/>
            <w:hideMark/>
          </w:tcPr>
          <w:p w14:paraId="3D219FF8" w14:textId="77777777" w:rsidR="00096B52" w:rsidRPr="008F03B5" w:rsidRDefault="00096B52" w:rsidP="00B27959">
            <w:pPr>
              <w:ind w:left="60"/>
              <w:rPr>
                <w:b/>
                <w:bCs/>
                <w:sz w:val="20"/>
                <w:szCs w:val="20"/>
              </w:rPr>
            </w:pPr>
            <w:r w:rsidRPr="008F03B5">
              <w:rPr>
                <w:b/>
                <w:bCs/>
                <w:sz w:val="20"/>
                <w:szCs w:val="20"/>
              </w:rPr>
              <w:t>Indicator</w:t>
            </w:r>
          </w:p>
        </w:tc>
        <w:tc>
          <w:tcPr>
            <w:tcW w:w="608" w:type="pct"/>
            <w:shd w:val="clear" w:color="auto" w:fill="FFFFFF" w:themeFill="background1"/>
            <w:noWrap/>
            <w:vAlign w:val="center"/>
            <w:hideMark/>
          </w:tcPr>
          <w:p w14:paraId="4E02CDAD" w14:textId="20B0BCF0" w:rsidR="00096B52" w:rsidRPr="008F03B5" w:rsidRDefault="00096B52" w:rsidP="00B27959">
            <w:pPr>
              <w:ind w:left="76"/>
              <w:rPr>
                <w:b/>
                <w:bCs/>
                <w:sz w:val="20"/>
                <w:szCs w:val="20"/>
              </w:rPr>
            </w:pPr>
            <w:r w:rsidRPr="008F03B5">
              <w:rPr>
                <w:b/>
                <w:bCs/>
                <w:sz w:val="20"/>
                <w:szCs w:val="20"/>
              </w:rPr>
              <w:t>201</w:t>
            </w:r>
            <w:r w:rsidR="006D44E5" w:rsidRPr="008F03B5">
              <w:rPr>
                <w:b/>
                <w:bCs/>
                <w:sz w:val="20"/>
                <w:szCs w:val="20"/>
              </w:rPr>
              <w:t>4</w:t>
            </w:r>
          </w:p>
        </w:tc>
        <w:tc>
          <w:tcPr>
            <w:tcW w:w="607" w:type="pct"/>
            <w:shd w:val="clear" w:color="auto" w:fill="FFFFFF" w:themeFill="background1"/>
          </w:tcPr>
          <w:p w14:paraId="5C9944DB" w14:textId="77777777" w:rsidR="00096B52" w:rsidRPr="008F03B5" w:rsidRDefault="00096B52" w:rsidP="00B27959">
            <w:pPr>
              <w:ind w:left="76"/>
              <w:rPr>
                <w:b/>
                <w:bCs/>
                <w:sz w:val="20"/>
                <w:szCs w:val="20"/>
              </w:rPr>
            </w:pPr>
          </w:p>
          <w:p w14:paraId="7EF36BAF" w14:textId="43F0ACAA" w:rsidR="00096B52" w:rsidRPr="008F03B5" w:rsidRDefault="00096B52" w:rsidP="00B27959">
            <w:pPr>
              <w:ind w:left="76"/>
              <w:rPr>
                <w:b/>
                <w:bCs/>
                <w:sz w:val="20"/>
                <w:szCs w:val="20"/>
              </w:rPr>
            </w:pPr>
            <w:r w:rsidRPr="008F03B5">
              <w:rPr>
                <w:b/>
                <w:bCs/>
                <w:sz w:val="20"/>
                <w:szCs w:val="20"/>
              </w:rPr>
              <w:t>202</w:t>
            </w:r>
            <w:r w:rsidR="00CB3DB9" w:rsidRPr="008F03B5">
              <w:rPr>
                <w:b/>
                <w:bCs/>
                <w:sz w:val="20"/>
                <w:szCs w:val="20"/>
              </w:rPr>
              <w:t>0</w:t>
            </w:r>
          </w:p>
          <w:p w14:paraId="5B770884" w14:textId="77777777" w:rsidR="00096B52" w:rsidRPr="008F03B5" w:rsidRDefault="00096B52" w:rsidP="00B27959">
            <w:pPr>
              <w:ind w:left="76"/>
              <w:rPr>
                <w:b/>
                <w:bCs/>
                <w:sz w:val="20"/>
                <w:szCs w:val="20"/>
              </w:rPr>
            </w:pPr>
          </w:p>
        </w:tc>
        <w:tc>
          <w:tcPr>
            <w:tcW w:w="656" w:type="pct"/>
            <w:shd w:val="clear" w:color="auto" w:fill="FFFFFF" w:themeFill="background1"/>
            <w:vAlign w:val="center"/>
          </w:tcPr>
          <w:p w14:paraId="008E982F" w14:textId="77777777" w:rsidR="00096B52" w:rsidRPr="008F03B5" w:rsidRDefault="00096B52" w:rsidP="00B27959">
            <w:pPr>
              <w:ind w:left="76"/>
              <w:rPr>
                <w:b/>
                <w:bCs/>
                <w:sz w:val="20"/>
                <w:szCs w:val="20"/>
              </w:rPr>
            </w:pPr>
            <w:r w:rsidRPr="008F03B5">
              <w:rPr>
                <w:b/>
                <w:bCs/>
                <w:sz w:val="20"/>
                <w:szCs w:val="20"/>
              </w:rPr>
              <w:t>Objective</w:t>
            </w:r>
          </w:p>
        </w:tc>
        <w:tc>
          <w:tcPr>
            <w:tcW w:w="514" w:type="pct"/>
            <w:shd w:val="clear" w:color="auto" w:fill="FFFFFF" w:themeFill="background1"/>
            <w:noWrap/>
            <w:vAlign w:val="center"/>
            <w:hideMark/>
          </w:tcPr>
          <w:p w14:paraId="7970E996" w14:textId="77777777" w:rsidR="00096B52" w:rsidRPr="008F03B5" w:rsidRDefault="00096B52" w:rsidP="00B27959">
            <w:pPr>
              <w:ind w:left="0"/>
              <w:rPr>
                <w:b/>
                <w:bCs/>
                <w:sz w:val="20"/>
                <w:szCs w:val="20"/>
              </w:rPr>
            </w:pPr>
            <w:r w:rsidRPr="008F03B5">
              <w:rPr>
                <w:b/>
                <w:bCs/>
                <w:sz w:val="20"/>
                <w:szCs w:val="20"/>
              </w:rPr>
              <w:t>Trend</w:t>
            </w:r>
          </w:p>
        </w:tc>
        <w:tc>
          <w:tcPr>
            <w:tcW w:w="1449" w:type="pct"/>
            <w:shd w:val="clear" w:color="auto" w:fill="FFFFFF" w:themeFill="background1"/>
            <w:noWrap/>
            <w:vAlign w:val="center"/>
            <w:hideMark/>
          </w:tcPr>
          <w:p w14:paraId="7BBE0744" w14:textId="77777777" w:rsidR="00096B52" w:rsidRPr="008F03B5" w:rsidRDefault="00096B52" w:rsidP="00B27959">
            <w:pPr>
              <w:ind w:left="76"/>
              <w:rPr>
                <w:b/>
                <w:bCs/>
                <w:sz w:val="20"/>
                <w:szCs w:val="20"/>
              </w:rPr>
            </w:pPr>
            <w:r w:rsidRPr="008F03B5">
              <w:rPr>
                <w:b/>
                <w:bCs/>
                <w:sz w:val="20"/>
                <w:szCs w:val="20"/>
              </w:rPr>
              <w:t>Comments</w:t>
            </w:r>
          </w:p>
        </w:tc>
      </w:tr>
      <w:tr w:rsidR="00D46422" w:rsidRPr="005A5857" w14:paraId="2582B484" w14:textId="77777777" w:rsidTr="00B27959">
        <w:trPr>
          <w:trHeight w:val="289"/>
        </w:trPr>
        <w:tc>
          <w:tcPr>
            <w:tcW w:w="1167" w:type="pct"/>
            <w:noWrap/>
            <w:hideMark/>
          </w:tcPr>
          <w:p w14:paraId="0F628D4F" w14:textId="77777777" w:rsidR="00096B52" w:rsidRPr="00B27959" w:rsidRDefault="00096B52" w:rsidP="00B27959">
            <w:pPr>
              <w:ind w:left="60"/>
              <w:rPr>
                <w:sz w:val="20"/>
                <w:szCs w:val="20"/>
              </w:rPr>
            </w:pPr>
            <w:r w:rsidRPr="00B27959">
              <w:rPr>
                <w:sz w:val="20"/>
                <w:szCs w:val="20"/>
              </w:rPr>
              <w:t>Average SH for all key species (in)</w:t>
            </w:r>
          </w:p>
        </w:tc>
        <w:tc>
          <w:tcPr>
            <w:tcW w:w="608" w:type="pct"/>
            <w:noWrap/>
            <w:vAlign w:val="center"/>
            <w:hideMark/>
          </w:tcPr>
          <w:p w14:paraId="52D3C4E6" w14:textId="0FF8D261" w:rsidR="00096B52" w:rsidRPr="00B27959" w:rsidRDefault="007048A4" w:rsidP="00B27959">
            <w:pPr>
              <w:ind w:left="76"/>
              <w:rPr>
                <w:sz w:val="20"/>
                <w:szCs w:val="20"/>
              </w:rPr>
            </w:pPr>
            <w:r w:rsidRPr="00B27959">
              <w:rPr>
                <w:sz w:val="20"/>
                <w:szCs w:val="20"/>
              </w:rPr>
              <w:t>7.5</w:t>
            </w:r>
          </w:p>
        </w:tc>
        <w:tc>
          <w:tcPr>
            <w:tcW w:w="607" w:type="pct"/>
            <w:vAlign w:val="center"/>
          </w:tcPr>
          <w:p w14:paraId="2135840C" w14:textId="4D16D871" w:rsidR="00096B52" w:rsidRPr="00B27959" w:rsidRDefault="00B52832" w:rsidP="00B27959">
            <w:pPr>
              <w:ind w:left="76"/>
              <w:rPr>
                <w:sz w:val="20"/>
                <w:szCs w:val="20"/>
              </w:rPr>
            </w:pPr>
            <w:r w:rsidRPr="00B27959">
              <w:rPr>
                <w:sz w:val="20"/>
                <w:szCs w:val="20"/>
              </w:rPr>
              <w:t>Not grazed</w:t>
            </w:r>
          </w:p>
        </w:tc>
        <w:tc>
          <w:tcPr>
            <w:tcW w:w="656" w:type="pct"/>
            <w:vAlign w:val="center"/>
          </w:tcPr>
          <w:p w14:paraId="1D1787B2" w14:textId="77777777" w:rsidR="00096B52" w:rsidRPr="00B27959" w:rsidRDefault="00096B52" w:rsidP="00B27959">
            <w:pPr>
              <w:ind w:left="76"/>
              <w:rPr>
                <w:sz w:val="20"/>
                <w:szCs w:val="20"/>
              </w:rPr>
            </w:pPr>
            <w:r w:rsidRPr="00B27959">
              <w:rPr>
                <w:sz w:val="20"/>
                <w:szCs w:val="20"/>
              </w:rPr>
              <w:t>&gt;6</w:t>
            </w:r>
          </w:p>
        </w:tc>
        <w:tc>
          <w:tcPr>
            <w:tcW w:w="514" w:type="pct"/>
            <w:noWrap/>
            <w:vAlign w:val="center"/>
            <w:hideMark/>
          </w:tcPr>
          <w:p w14:paraId="2ABD6825" w14:textId="77777777" w:rsidR="00096B52" w:rsidRPr="00B27959" w:rsidRDefault="00096B52" w:rsidP="00B27959">
            <w:pPr>
              <w:ind w:left="0"/>
              <w:rPr>
                <w:sz w:val="20"/>
                <w:szCs w:val="20"/>
              </w:rPr>
            </w:pPr>
          </w:p>
        </w:tc>
        <w:tc>
          <w:tcPr>
            <w:tcW w:w="1449" w:type="pct"/>
            <w:noWrap/>
            <w:hideMark/>
          </w:tcPr>
          <w:p w14:paraId="3F511AEC" w14:textId="7E06DB56" w:rsidR="00096B52" w:rsidRPr="00B27959" w:rsidRDefault="00096B52" w:rsidP="00B27959">
            <w:pPr>
              <w:ind w:left="76"/>
              <w:rPr>
                <w:sz w:val="20"/>
                <w:szCs w:val="20"/>
              </w:rPr>
            </w:pPr>
          </w:p>
        </w:tc>
      </w:tr>
      <w:tr w:rsidR="00D46422" w:rsidRPr="005A5857" w14:paraId="636D1250" w14:textId="77777777" w:rsidTr="00B27959">
        <w:trPr>
          <w:trHeight w:val="289"/>
        </w:trPr>
        <w:tc>
          <w:tcPr>
            <w:tcW w:w="1167" w:type="pct"/>
            <w:noWrap/>
            <w:hideMark/>
          </w:tcPr>
          <w:p w14:paraId="2253EB32" w14:textId="77777777" w:rsidR="00096B52" w:rsidRPr="00B27959" w:rsidRDefault="00096B52" w:rsidP="00B27959">
            <w:pPr>
              <w:ind w:left="60"/>
              <w:rPr>
                <w:sz w:val="20"/>
                <w:szCs w:val="20"/>
              </w:rPr>
            </w:pPr>
            <w:r w:rsidRPr="00B27959">
              <w:rPr>
                <w:sz w:val="20"/>
                <w:szCs w:val="20"/>
              </w:rPr>
              <w:t>Woody Species Use (%)</w:t>
            </w:r>
          </w:p>
        </w:tc>
        <w:tc>
          <w:tcPr>
            <w:tcW w:w="608" w:type="pct"/>
            <w:noWrap/>
            <w:vAlign w:val="center"/>
            <w:hideMark/>
          </w:tcPr>
          <w:p w14:paraId="08729C55" w14:textId="6CC8D037" w:rsidR="00096B52" w:rsidRPr="00B27959" w:rsidRDefault="007048A4" w:rsidP="00B27959">
            <w:pPr>
              <w:ind w:left="76"/>
              <w:rPr>
                <w:sz w:val="20"/>
                <w:szCs w:val="20"/>
              </w:rPr>
            </w:pPr>
            <w:r w:rsidRPr="00B27959">
              <w:rPr>
                <w:sz w:val="20"/>
                <w:szCs w:val="20"/>
              </w:rPr>
              <w:t>20</w:t>
            </w:r>
          </w:p>
        </w:tc>
        <w:tc>
          <w:tcPr>
            <w:tcW w:w="607" w:type="pct"/>
            <w:vAlign w:val="center"/>
          </w:tcPr>
          <w:p w14:paraId="2FE42114" w14:textId="2C1655CF" w:rsidR="00096B52" w:rsidRPr="00B27959" w:rsidRDefault="00B52832" w:rsidP="00B27959">
            <w:pPr>
              <w:ind w:left="76"/>
              <w:rPr>
                <w:sz w:val="20"/>
                <w:szCs w:val="20"/>
              </w:rPr>
            </w:pPr>
            <w:r w:rsidRPr="00B27959">
              <w:rPr>
                <w:sz w:val="20"/>
                <w:szCs w:val="20"/>
              </w:rPr>
              <w:t>Not grazed</w:t>
            </w:r>
          </w:p>
        </w:tc>
        <w:tc>
          <w:tcPr>
            <w:tcW w:w="656" w:type="pct"/>
            <w:vAlign w:val="center"/>
          </w:tcPr>
          <w:p w14:paraId="5DD5B895" w14:textId="77777777" w:rsidR="00096B52" w:rsidRPr="00B27959" w:rsidRDefault="00096B52" w:rsidP="00B27959">
            <w:pPr>
              <w:ind w:left="76"/>
              <w:rPr>
                <w:sz w:val="20"/>
                <w:szCs w:val="20"/>
              </w:rPr>
            </w:pPr>
            <w:r w:rsidRPr="00B27959">
              <w:rPr>
                <w:sz w:val="20"/>
                <w:szCs w:val="20"/>
              </w:rPr>
              <w:t>&lt;35</w:t>
            </w:r>
          </w:p>
        </w:tc>
        <w:tc>
          <w:tcPr>
            <w:tcW w:w="514" w:type="pct"/>
            <w:noWrap/>
            <w:vAlign w:val="center"/>
            <w:hideMark/>
          </w:tcPr>
          <w:p w14:paraId="6B170E6F" w14:textId="77777777" w:rsidR="00096B52" w:rsidRPr="00B27959" w:rsidRDefault="00096B52" w:rsidP="00B27959">
            <w:pPr>
              <w:ind w:left="0"/>
              <w:rPr>
                <w:sz w:val="20"/>
                <w:szCs w:val="20"/>
              </w:rPr>
            </w:pPr>
          </w:p>
        </w:tc>
        <w:tc>
          <w:tcPr>
            <w:tcW w:w="1449" w:type="pct"/>
            <w:noWrap/>
            <w:hideMark/>
          </w:tcPr>
          <w:p w14:paraId="6E919E26" w14:textId="681980D4" w:rsidR="00096B52" w:rsidRPr="00B27959" w:rsidRDefault="00096B52" w:rsidP="00B27959">
            <w:pPr>
              <w:ind w:left="76"/>
              <w:rPr>
                <w:sz w:val="20"/>
                <w:szCs w:val="20"/>
              </w:rPr>
            </w:pPr>
          </w:p>
        </w:tc>
      </w:tr>
      <w:tr w:rsidR="00D46422" w:rsidRPr="005A5857" w14:paraId="31BC0D71" w14:textId="77777777" w:rsidTr="00B27959">
        <w:trPr>
          <w:trHeight w:val="289"/>
        </w:trPr>
        <w:tc>
          <w:tcPr>
            <w:tcW w:w="1167" w:type="pct"/>
            <w:noWrap/>
            <w:hideMark/>
          </w:tcPr>
          <w:p w14:paraId="6A64604D" w14:textId="77777777" w:rsidR="00096B52" w:rsidRPr="00B27959" w:rsidRDefault="00096B52" w:rsidP="00B27959">
            <w:pPr>
              <w:ind w:left="60"/>
              <w:rPr>
                <w:sz w:val="20"/>
                <w:szCs w:val="20"/>
              </w:rPr>
            </w:pPr>
            <w:r w:rsidRPr="00B27959">
              <w:rPr>
                <w:sz w:val="20"/>
                <w:szCs w:val="20"/>
              </w:rPr>
              <w:t>Streambank Alteration (%)</w:t>
            </w:r>
          </w:p>
        </w:tc>
        <w:tc>
          <w:tcPr>
            <w:tcW w:w="608" w:type="pct"/>
            <w:noWrap/>
            <w:vAlign w:val="center"/>
            <w:hideMark/>
          </w:tcPr>
          <w:p w14:paraId="27CF50A0" w14:textId="6EE8C5F0" w:rsidR="00096B52" w:rsidRPr="00B27959" w:rsidRDefault="007048A4" w:rsidP="00B27959">
            <w:pPr>
              <w:ind w:left="76"/>
              <w:rPr>
                <w:sz w:val="20"/>
                <w:szCs w:val="20"/>
              </w:rPr>
            </w:pPr>
            <w:r w:rsidRPr="00B27959">
              <w:rPr>
                <w:sz w:val="20"/>
                <w:szCs w:val="20"/>
              </w:rPr>
              <w:t>5</w:t>
            </w:r>
          </w:p>
        </w:tc>
        <w:tc>
          <w:tcPr>
            <w:tcW w:w="607" w:type="pct"/>
            <w:vAlign w:val="center"/>
          </w:tcPr>
          <w:p w14:paraId="5754DE1E" w14:textId="6FE6A13D" w:rsidR="00096B52" w:rsidRPr="00B27959" w:rsidRDefault="00B52832" w:rsidP="00B27959">
            <w:pPr>
              <w:ind w:left="76"/>
              <w:rPr>
                <w:sz w:val="20"/>
                <w:szCs w:val="20"/>
              </w:rPr>
            </w:pPr>
            <w:r w:rsidRPr="00B27959">
              <w:rPr>
                <w:sz w:val="20"/>
                <w:szCs w:val="20"/>
              </w:rPr>
              <w:t>Not grazed</w:t>
            </w:r>
          </w:p>
        </w:tc>
        <w:tc>
          <w:tcPr>
            <w:tcW w:w="656" w:type="pct"/>
            <w:vAlign w:val="center"/>
          </w:tcPr>
          <w:p w14:paraId="6DDA167D" w14:textId="77777777" w:rsidR="00096B52" w:rsidRPr="00B27959" w:rsidRDefault="00096B52" w:rsidP="00B27959">
            <w:pPr>
              <w:ind w:left="76"/>
              <w:rPr>
                <w:sz w:val="20"/>
                <w:szCs w:val="20"/>
              </w:rPr>
            </w:pPr>
            <w:r w:rsidRPr="00B27959">
              <w:rPr>
                <w:sz w:val="20"/>
                <w:szCs w:val="20"/>
              </w:rPr>
              <w:t>&lt;20</w:t>
            </w:r>
          </w:p>
        </w:tc>
        <w:tc>
          <w:tcPr>
            <w:tcW w:w="514" w:type="pct"/>
            <w:noWrap/>
            <w:vAlign w:val="center"/>
            <w:hideMark/>
          </w:tcPr>
          <w:p w14:paraId="629DA155" w14:textId="700B569E" w:rsidR="00096B52" w:rsidRPr="00B27959" w:rsidRDefault="00096B52" w:rsidP="00B27959">
            <w:pPr>
              <w:ind w:left="0"/>
              <w:rPr>
                <w:sz w:val="20"/>
                <w:szCs w:val="20"/>
              </w:rPr>
            </w:pPr>
          </w:p>
        </w:tc>
        <w:tc>
          <w:tcPr>
            <w:tcW w:w="1449" w:type="pct"/>
            <w:noWrap/>
            <w:hideMark/>
          </w:tcPr>
          <w:p w14:paraId="544337AF" w14:textId="35703855" w:rsidR="00096B52" w:rsidRPr="00B27959" w:rsidRDefault="00096B52" w:rsidP="00B27959">
            <w:pPr>
              <w:ind w:left="76"/>
              <w:rPr>
                <w:sz w:val="20"/>
                <w:szCs w:val="20"/>
              </w:rPr>
            </w:pPr>
          </w:p>
        </w:tc>
      </w:tr>
      <w:tr w:rsidR="00D46422" w:rsidRPr="005A5857" w14:paraId="5950A5CE" w14:textId="77777777" w:rsidTr="00B27959">
        <w:trPr>
          <w:trHeight w:val="289"/>
        </w:trPr>
        <w:tc>
          <w:tcPr>
            <w:tcW w:w="1167" w:type="pct"/>
            <w:noWrap/>
            <w:hideMark/>
          </w:tcPr>
          <w:p w14:paraId="165C6BDD" w14:textId="77777777" w:rsidR="00096B52" w:rsidRPr="00B27959" w:rsidRDefault="00096B52" w:rsidP="00B27959">
            <w:pPr>
              <w:ind w:left="60"/>
              <w:rPr>
                <w:sz w:val="20"/>
                <w:szCs w:val="20"/>
              </w:rPr>
            </w:pPr>
            <w:r w:rsidRPr="00B27959">
              <w:rPr>
                <w:sz w:val="20"/>
                <w:szCs w:val="20"/>
              </w:rPr>
              <w:t>Streambank Stability (%)</w:t>
            </w:r>
          </w:p>
        </w:tc>
        <w:tc>
          <w:tcPr>
            <w:tcW w:w="608" w:type="pct"/>
            <w:noWrap/>
            <w:vAlign w:val="center"/>
            <w:hideMark/>
          </w:tcPr>
          <w:p w14:paraId="72A2BF85" w14:textId="28A982C0" w:rsidR="00096B52" w:rsidRPr="00B27959" w:rsidRDefault="007048A4" w:rsidP="00B27959">
            <w:pPr>
              <w:ind w:left="76"/>
              <w:rPr>
                <w:sz w:val="20"/>
                <w:szCs w:val="20"/>
              </w:rPr>
            </w:pPr>
            <w:r w:rsidRPr="00B27959">
              <w:rPr>
                <w:sz w:val="20"/>
                <w:szCs w:val="20"/>
              </w:rPr>
              <w:t>71</w:t>
            </w:r>
          </w:p>
        </w:tc>
        <w:tc>
          <w:tcPr>
            <w:tcW w:w="607" w:type="pct"/>
            <w:vAlign w:val="center"/>
          </w:tcPr>
          <w:p w14:paraId="689A4108" w14:textId="77146A92" w:rsidR="00096B52" w:rsidRPr="00B27959" w:rsidRDefault="00CB3DB9" w:rsidP="00B27959">
            <w:pPr>
              <w:ind w:left="76"/>
              <w:rPr>
                <w:sz w:val="20"/>
                <w:szCs w:val="20"/>
              </w:rPr>
            </w:pPr>
            <w:r w:rsidRPr="00B27959">
              <w:rPr>
                <w:sz w:val="20"/>
                <w:szCs w:val="20"/>
              </w:rPr>
              <w:t>6</w:t>
            </w:r>
            <w:r w:rsidR="006D44E5" w:rsidRPr="00B27959">
              <w:rPr>
                <w:sz w:val="20"/>
                <w:szCs w:val="20"/>
              </w:rPr>
              <w:t>1</w:t>
            </w:r>
          </w:p>
        </w:tc>
        <w:tc>
          <w:tcPr>
            <w:tcW w:w="656" w:type="pct"/>
            <w:vAlign w:val="center"/>
          </w:tcPr>
          <w:p w14:paraId="00BDC985" w14:textId="77777777" w:rsidR="00096B52" w:rsidRPr="00B27959" w:rsidRDefault="00096B52" w:rsidP="00B27959">
            <w:pPr>
              <w:ind w:left="76"/>
              <w:rPr>
                <w:sz w:val="20"/>
                <w:szCs w:val="20"/>
              </w:rPr>
            </w:pPr>
            <w:r w:rsidRPr="00B27959">
              <w:rPr>
                <w:sz w:val="20"/>
                <w:szCs w:val="20"/>
              </w:rPr>
              <w:t>&gt;90</w:t>
            </w:r>
          </w:p>
        </w:tc>
        <w:tc>
          <w:tcPr>
            <w:tcW w:w="514" w:type="pct"/>
            <w:noWrap/>
            <w:vAlign w:val="center"/>
            <w:hideMark/>
          </w:tcPr>
          <w:p w14:paraId="0BE89F3A" w14:textId="44D2C2C5" w:rsidR="00096B52" w:rsidRPr="00B27959" w:rsidRDefault="001003ED" w:rsidP="00B27959">
            <w:pPr>
              <w:ind w:left="0"/>
              <w:rPr>
                <w:sz w:val="20"/>
                <w:szCs w:val="20"/>
              </w:rPr>
            </w:pPr>
            <w:r w:rsidRPr="00B27959">
              <w:rPr>
                <w:sz w:val="20"/>
                <w:szCs w:val="20"/>
              </w:rPr>
              <w:t>Negative</w:t>
            </w:r>
          </w:p>
        </w:tc>
        <w:tc>
          <w:tcPr>
            <w:tcW w:w="1449" w:type="pct"/>
            <w:noWrap/>
            <w:hideMark/>
          </w:tcPr>
          <w:p w14:paraId="7631387A" w14:textId="375C6E97" w:rsidR="00096B52" w:rsidRPr="00B27959" w:rsidRDefault="00B52832" w:rsidP="00B27959">
            <w:pPr>
              <w:ind w:left="76"/>
              <w:rPr>
                <w:sz w:val="20"/>
                <w:szCs w:val="20"/>
              </w:rPr>
            </w:pPr>
            <w:r w:rsidRPr="00B27959">
              <w:rPr>
                <w:sz w:val="20"/>
                <w:szCs w:val="20"/>
              </w:rPr>
              <w:t>Declining</w:t>
            </w:r>
            <w:r w:rsidR="00096B52" w:rsidRPr="00B27959">
              <w:rPr>
                <w:sz w:val="20"/>
                <w:szCs w:val="20"/>
              </w:rPr>
              <w:t>, does not meet objective</w:t>
            </w:r>
          </w:p>
        </w:tc>
      </w:tr>
      <w:tr w:rsidR="00D46422" w:rsidRPr="005A5857" w14:paraId="7175116C" w14:textId="77777777" w:rsidTr="00B27959">
        <w:trPr>
          <w:trHeight w:val="289"/>
        </w:trPr>
        <w:tc>
          <w:tcPr>
            <w:tcW w:w="1167" w:type="pct"/>
            <w:noWrap/>
            <w:hideMark/>
          </w:tcPr>
          <w:p w14:paraId="05F5AD46" w14:textId="77777777" w:rsidR="00096B52" w:rsidRPr="00B27959" w:rsidRDefault="00096B52" w:rsidP="00B27959">
            <w:pPr>
              <w:ind w:left="60"/>
              <w:rPr>
                <w:sz w:val="20"/>
                <w:szCs w:val="20"/>
              </w:rPr>
            </w:pPr>
            <w:r w:rsidRPr="00B27959">
              <w:rPr>
                <w:sz w:val="20"/>
                <w:szCs w:val="20"/>
              </w:rPr>
              <w:t>Streambank Cover (%)</w:t>
            </w:r>
          </w:p>
        </w:tc>
        <w:tc>
          <w:tcPr>
            <w:tcW w:w="608" w:type="pct"/>
            <w:noWrap/>
            <w:vAlign w:val="center"/>
            <w:hideMark/>
          </w:tcPr>
          <w:p w14:paraId="3D051D50" w14:textId="35329B72" w:rsidR="00096B52" w:rsidRPr="00B27959" w:rsidRDefault="007048A4" w:rsidP="00B27959">
            <w:pPr>
              <w:ind w:left="76"/>
              <w:rPr>
                <w:sz w:val="20"/>
                <w:szCs w:val="20"/>
              </w:rPr>
            </w:pPr>
            <w:r w:rsidRPr="00B27959">
              <w:rPr>
                <w:sz w:val="20"/>
                <w:szCs w:val="20"/>
              </w:rPr>
              <w:t>68</w:t>
            </w:r>
          </w:p>
        </w:tc>
        <w:tc>
          <w:tcPr>
            <w:tcW w:w="607" w:type="pct"/>
            <w:vAlign w:val="center"/>
          </w:tcPr>
          <w:p w14:paraId="08425976" w14:textId="7FDE8E38" w:rsidR="00096B52" w:rsidRPr="00B27959" w:rsidRDefault="00CB3DB9" w:rsidP="00B27959">
            <w:pPr>
              <w:ind w:left="76"/>
              <w:rPr>
                <w:sz w:val="20"/>
                <w:szCs w:val="20"/>
              </w:rPr>
            </w:pPr>
            <w:r w:rsidRPr="00B27959">
              <w:rPr>
                <w:sz w:val="20"/>
                <w:szCs w:val="20"/>
              </w:rPr>
              <w:t>21</w:t>
            </w:r>
          </w:p>
        </w:tc>
        <w:tc>
          <w:tcPr>
            <w:tcW w:w="656" w:type="pct"/>
            <w:vAlign w:val="center"/>
          </w:tcPr>
          <w:p w14:paraId="746EBDB5" w14:textId="77777777" w:rsidR="00096B52" w:rsidRPr="00B27959" w:rsidRDefault="00096B52" w:rsidP="00B27959">
            <w:pPr>
              <w:ind w:left="76"/>
              <w:rPr>
                <w:sz w:val="20"/>
                <w:szCs w:val="20"/>
              </w:rPr>
            </w:pPr>
            <w:r w:rsidRPr="00B27959">
              <w:rPr>
                <w:sz w:val="20"/>
                <w:szCs w:val="20"/>
              </w:rPr>
              <w:t>&gt;90</w:t>
            </w:r>
          </w:p>
        </w:tc>
        <w:tc>
          <w:tcPr>
            <w:tcW w:w="514" w:type="pct"/>
            <w:noWrap/>
            <w:vAlign w:val="center"/>
            <w:hideMark/>
          </w:tcPr>
          <w:p w14:paraId="5770D1A6" w14:textId="23F34098" w:rsidR="00096B52" w:rsidRPr="00B27959" w:rsidRDefault="001003ED" w:rsidP="00B27959">
            <w:pPr>
              <w:ind w:left="0"/>
              <w:rPr>
                <w:sz w:val="20"/>
                <w:szCs w:val="20"/>
              </w:rPr>
            </w:pPr>
            <w:r w:rsidRPr="00B27959">
              <w:rPr>
                <w:sz w:val="20"/>
                <w:szCs w:val="20"/>
              </w:rPr>
              <w:t>Negative</w:t>
            </w:r>
          </w:p>
        </w:tc>
        <w:tc>
          <w:tcPr>
            <w:tcW w:w="1449" w:type="pct"/>
            <w:noWrap/>
            <w:hideMark/>
          </w:tcPr>
          <w:p w14:paraId="1E27A1C0" w14:textId="2132D4F8" w:rsidR="00096B52" w:rsidRPr="00B27959" w:rsidRDefault="00C23D1B" w:rsidP="00B27959">
            <w:pPr>
              <w:ind w:left="76"/>
              <w:rPr>
                <w:sz w:val="20"/>
                <w:szCs w:val="20"/>
              </w:rPr>
            </w:pPr>
            <w:r w:rsidRPr="00B27959">
              <w:rPr>
                <w:sz w:val="20"/>
                <w:szCs w:val="20"/>
              </w:rPr>
              <w:t>Significant decline in covered stable banks</w:t>
            </w:r>
            <w:r w:rsidR="00096B52" w:rsidRPr="00B27959">
              <w:rPr>
                <w:sz w:val="20"/>
                <w:szCs w:val="20"/>
              </w:rPr>
              <w:t>, does not meet objective</w:t>
            </w:r>
          </w:p>
        </w:tc>
      </w:tr>
      <w:tr w:rsidR="00D46422" w:rsidRPr="005A5857" w14:paraId="2BBFF453" w14:textId="77777777" w:rsidTr="00B27959">
        <w:trPr>
          <w:trHeight w:val="289"/>
        </w:trPr>
        <w:tc>
          <w:tcPr>
            <w:tcW w:w="1167" w:type="pct"/>
            <w:noWrap/>
            <w:hideMark/>
          </w:tcPr>
          <w:p w14:paraId="332A51CC" w14:textId="77777777" w:rsidR="00096B52" w:rsidRPr="00B27959" w:rsidRDefault="00096B52" w:rsidP="00B27959">
            <w:pPr>
              <w:ind w:left="60"/>
              <w:rPr>
                <w:sz w:val="20"/>
                <w:szCs w:val="20"/>
              </w:rPr>
            </w:pPr>
            <w:r w:rsidRPr="00B27959">
              <w:rPr>
                <w:sz w:val="20"/>
                <w:szCs w:val="20"/>
              </w:rPr>
              <w:t>Greenline Ecological Status Rating</w:t>
            </w:r>
          </w:p>
        </w:tc>
        <w:tc>
          <w:tcPr>
            <w:tcW w:w="608" w:type="pct"/>
            <w:noWrap/>
            <w:vAlign w:val="center"/>
            <w:hideMark/>
          </w:tcPr>
          <w:p w14:paraId="7990D8CC" w14:textId="69FB4D69" w:rsidR="00096B52" w:rsidRPr="00B27959" w:rsidRDefault="007048A4" w:rsidP="00B27959">
            <w:pPr>
              <w:ind w:left="76"/>
              <w:rPr>
                <w:sz w:val="20"/>
                <w:szCs w:val="20"/>
              </w:rPr>
            </w:pPr>
            <w:r w:rsidRPr="00B27959">
              <w:rPr>
                <w:sz w:val="20"/>
                <w:szCs w:val="20"/>
              </w:rPr>
              <w:t>75</w:t>
            </w:r>
          </w:p>
          <w:p w14:paraId="44D9F435" w14:textId="5F01C529" w:rsidR="00096B52" w:rsidRPr="00B27959" w:rsidRDefault="00096B52" w:rsidP="00B27959">
            <w:pPr>
              <w:ind w:left="76"/>
              <w:rPr>
                <w:sz w:val="20"/>
                <w:szCs w:val="20"/>
              </w:rPr>
            </w:pPr>
            <w:r w:rsidRPr="00B27959">
              <w:rPr>
                <w:sz w:val="20"/>
                <w:szCs w:val="20"/>
              </w:rPr>
              <w:t>(</w:t>
            </w:r>
            <w:r w:rsidR="007048A4" w:rsidRPr="00B27959">
              <w:rPr>
                <w:sz w:val="20"/>
                <w:szCs w:val="20"/>
              </w:rPr>
              <w:t>Late</w:t>
            </w:r>
            <w:r w:rsidRPr="00B27959">
              <w:rPr>
                <w:sz w:val="20"/>
                <w:szCs w:val="20"/>
              </w:rPr>
              <w:t>)</w:t>
            </w:r>
          </w:p>
        </w:tc>
        <w:tc>
          <w:tcPr>
            <w:tcW w:w="607" w:type="pct"/>
            <w:vAlign w:val="center"/>
          </w:tcPr>
          <w:p w14:paraId="787A76E2" w14:textId="4E8EF2B3" w:rsidR="00096B52" w:rsidRPr="00B27959" w:rsidRDefault="00CB3DB9" w:rsidP="00B27959">
            <w:pPr>
              <w:ind w:left="76"/>
              <w:rPr>
                <w:sz w:val="20"/>
                <w:szCs w:val="20"/>
              </w:rPr>
            </w:pPr>
            <w:r w:rsidRPr="00B27959">
              <w:rPr>
                <w:sz w:val="20"/>
                <w:szCs w:val="20"/>
              </w:rPr>
              <w:t>70</w:t>
            </w:r>
          </w:p>
          <w:p w14:paraId="0D2FAFF2" w14:textId="77777777" w:rsidR="00096B52" w:rsidRPr="00B27959" w:rsidRDefault="00096B52" w:rsidP="00B27959">
            <w:pPr>
              <w:ind w:left="76"/>
              <w:rPr>
                <w:sz w:val="20"/>
                <w:szCs w:val="20"/>
              </w:rPr>
            </w:pPr>
            <w:r w:rsidRPr="00B27959">
              <w:rPr>
                <w:sz w:val="20"/>
                <w:szCs w:val="20"/>
              </w:rPr>
              <w:t>(Late)</w:t>
            </w:r>
          </w:p>
        </w:tc>
        <w:tc>
          <w:tcPr>
            <w:tcW w:w="656" w:type="pct"/>
            <w:vAlign w:val="center"/>
          </w:tcPr>
          <w:p w14:paraId="797D837E" w14:textId="77777777" w:rsidR="00096B52" w:rsidRPr="00B27959" w:rsidRDefault="00096B52" w:rsidP="00B27959">
            <w:pPr>
              <w:ind w:left="76"/>
              <w:rPr>
                <w:sz w:val="20"/>
                <w:szCs w:val="20"/>
              </w:rPr>
            </w:pPr>
            <w:r w:rsidRPr="00B27959">
              <w:rPr>
                <w:sz w:val="20"/>
                <w:szCs w:val="20"/>
              </w:rPr>
              <w:t>&gt;52</w:t>
            </w:r>
          </w:p>
          <w:p w14:paraId="5F2A7BE5" w14:textId="77777777" w:rsidR="00096B52" w:rsidRPr="00B27959" w:rsidRDefault="00096B52" w:rsidP="00B27959">
            <w:pPr>
              <w:ind w:left="76"/>
              <w:rPr>
                <w:sz w:val="20"/>
                <w:szCs w:val="20"/>
              </w:rPr>
            </w:pPr>
            <w:r w:rsidRPr="00B27959">
              <w:rPr>
                <w:sz w:val="20"/>
                <w:szCs w:val="20"/>
              </w:rPr>
              <w:t>(Upper Mid)</w:t>
            </w:r>
          </w:p>
        </w:tc>
        <w:tc>
          <w:tcPr>
            <w:tcW w:w="514" w:type="pct"/>
            <w:noWrap/>
            <w:vAlign w:val="center"/>
            <w:hideMark/>
          </w:tcPr>
          <w:p w14:paraId="7BDFFB98" w14:textId="592F5DCF" w:rsidR="00096B52" w:rsidRPr="00B27959" w:rsidRDefault="00B52832" w:rsidP="00B27959">
            <w:pPr>
              <w:ind w:left="0"/>
              <w:rPr>
                <w:sz w:val="20"/>
                <w:szCs w:val="20"/>
              </w:rPr>
            </w:pPr>
            <w:r w:rsidRPr="00B27959">
              <w:rPr>
                <w:sz w:val="20"/>
                <w:szCs w:val="20"/>
              </w:rPr>
              <w:t>Static</w:t>
            </w:r>
          </w:p>
        </w:tc>
        <w:tc>
          <w:tcPr>
            <w:tcW w:w="1449" w:type="pct"/>
            <w:noWrap/>
            <w:hideMark/>
          </w:tcPr>
          <w:p w14:paraId="5AC3FCA4" w14:textId="77777777" w:rsidR="00096B52" w:rsidRPr="00B27959" w:rsidRDefault="00096B52" w:rsidP="00B27959">
            <w:pPr>
              <w:ind w:left="76"/>
              <w:rPr>
                <w:sz w:val="20"/>
                <w:szCs w:val="20"/>
              </w:rPr>
            </w:pPr>
            <w:r w:rsidRPr="00B27959">
              <w:rPr>
                <w:sz w:val="20"/>
                <w:szCs w:val="20"/>
              </w:rPr>
              <w:t>Improving, meets objective in 2020</w:t>
            </w:r>
          </w:p>
        </w:tc>
      </w:tr>
      <w:tr w:rsidR="00D46422" w:rsidRPr="005A5857" w14:paraId="7E15313A" w14:textId="77777777" w:rsidTr="00B27959">
        <w:trPr>
          <w:trHeight w:val="289"/>
        </w:trPr>
        <w:tc>
          <w:tcPr>
            <w:tcW w:w="1167" w:type="pct"/>
            <w:noWrap/>
            <w:hideMark/>
          </w:tcPr>
          <w:p w14:paraId="7E0CD855" w14:textId="77777777" w:rsidR="00096B52" w:rsidRPr="00B27959" w:rsidRDefault="00096B52" w:rsidP="00B27959">
            <w:pPr>
              <w:ind w:left="60"/>
              <w:rPr>
                <w:sz w:val="20"/>
                <w:szCs w:val="20"/>
              </w:rPr>
            </w:pPr>
            <w:r w:rsidRPr="00B27959">
              <w:rPr>
                <w:sz w:val="20"/>
                <w:szCs w:val="20"/>
              </w:rPr>
              <w:t xml:space="preserve">Site Wetland Rating </w:t>
            </w:r>
          </w:p>
        </w:tc>
        <w:tc>
          <w:tcPr>
            <w:tcW w:w="608" w:type="pct"/>
            <w:noWrap/>
            <w:vAlign w:val="center"/>
            <w:hideMark/>
          </w:tcPr>
          <w:p w14:paraId="4DD44052" w14:textId="7B400AF6" w:rsidR="00096B52" w:rsidRPr="00B27959" w:rsidRDefault="00CB3DB9" w:rsidP="00B27959">
            <w:pPr>
              <w:ind w:left="76"/>
              <w:rPr>
                <w:sz w:val="20"/>
                <w:szCs w:val="20"/>
              </w:rPr>
            </w:pPr>
            <w:r w:rsidRPr="00B27959">
              <w:rPr>
                <w:sz w:val="20"/>
                <w:szCs w:val="20"/>
              </w:rPr>
              <w:t>60</w:t>
            </w:r>
          </w:p>
          <w:p w14:paraId="62B464FA" w14:textId="0FDF6A28" w:rsidR="00096B52" w:rsidRPr="00B27959" w:rsidRDefault="00096B52" w:rsidP="00B27959">
            <w:pPr>
              <w:ind w:left="76"/>
              <w:rPr>
                <w:sz w:val="20"/>
                <w:szCs w:val="20"/>
              </w:rPr>
            </w:pPr>
            <w:r w:rsidRPr="00B27959">
              <w:rPr>
                <w:sz w:val="20"/>
                <w:szCs w:val="20"/>
              </w:rPr>
              <w:t>(</w:t>
            </w:r>
            <w:r w:rsidR="00CB3DB9" w:rsidRPr="00B27959">
              <w:rPr>
                <w:sz w:val="20"/>
                <w:szCs w:val="20"/>
              </w:rPr>
              <w:t>FAC</w:t>
            </w:r>
            <w:r w:rsidRPr="00B27959">
              <w:rPr>
                <w:sz w:val="20"/>
                <w:szCs w:val="20"/>
              </w:rPr>
              <w:t>)</w:t>
            </w:r>
          </w:p>
        </w:tc>
        <w:tc>
          <w:tcPr>
            <w:tcW w:w="607" w:type="pct"/>
            <w:vAlign w:val="center"/>
          </w:tcPr>
          <w:p w14:paraId="3D92A6D5" w14:textId="1A47059B" w:rsidR="00096B52" w:rsidRPr="00B27959" w:rsidRDefault="00096B52" w:rsidP="00B27959">
            <w:pPr>
              <w:ind w:left="76"/>
              <w:rPr>
                <w:sz w:val="20"/>
                <w:szCs w:val="20"/>
              </w:rPr>
            </w:pPr>
            <w:r w:rsidRPr="00B27959">
              <w:rPr>
                <w:sz w:val="20"/>
                <w:szCs w:val="20"/>
              </w:rPr>
              <w:t>5</w:t>
            </w:r>
            <w:r w:rsidR="00CB3DB9" w:rsidRPr="00B27959">
              <w:rPr>
                <w:sz w:val="20"/>
                <w:szCs w:val="20"/>
              </w:rPr>
              <w:t>2</w:t>
            </w:r>
            <w:r w:rsidRPr="00B27959">
              <w:rPr>
                <w:sz w:val="20"/>
                <w:szCs w:val="20"/>
              </w:rPr>
              <w:t>±2.</w:t>
            </w:r>
            <w:r w:rsidR="00CB3DB9" w:rsidRPr="00B27959">
              <w:rPr>
                <w:sz w:val="20"/>
                <w:szCs w:val="20"/>
              </w:rPr>
              <w:t>1</w:t>
            </w:r>
          </w:p>
          <w:p w14:paraId="3E171551" w14:textId="7715A148" w:rsidR="00096B52" w:rsidRPr="00B27959" w:rsidRDefault="00096B52" w:rsidP="00B27959">
            <w:pPr>
              <w:ind w:left="76"/>
              <w:rPr>
                <w:sz w:val="20"/>
                <w:szCs w:val="20"/>
              </w:rPr>
            </w:pPr>
            <w:r w:rsidRPr="00B27959">
              <w:rPr>
                <w:sz w:val="20"/>
                <w:szCs w:val="20"/>
              </w:rPr>
              <w:t>(F</w:t>
            </w:r>
            <w:r w:rsidR="00CB3DB9" w:rsidRPr="00B27959">
              <w:rPr>
                <w:sz w:val="20"/>
                <w:szCs w:val="20"/>
              </w:rPr>
              <w:t>AC</w:t>
            </w:r>
            <w:r w:rsidRPr="00B27959">
              <w:rPr>
                <w:sz w:val="20"/>
                <w:szCs w:val="20"/>
              </w:rPr>
              <w:t>)</w:t>
            </w:r>
          </w:p>
        </w:tc>
        <w:tc>
          <w:tcPr>
            <w:tcW w:w="656" w:type="pct"/>
            <w:vAlign w:val="center"/>
          </w:tcPr>
          <w:p w14:paraId="16999966" w14:textId="77777777" w:rsidR="00096B52" w:rsidRPr="00B27959" w:rsidRDefault="00096B52" w:rsidP="00B27959">
            <w:pPr>
              <w:ind w:left="76"/>
              <w:rPr>
                <w:sz w:val="20"/>
                <w:szCs w:val="20"/>
              </w:rPr>
            </w:pPr>
            <w:r w:rsidRPr="00B27959">
              <w:rPr>
                <w:sz w:val="20"/>
                <w:szCs w:val="20"/>
              </w:rPr>
              <w:t>≥58</w:t>
            </w:r>
          </w:p>
          <w:p w14:paraId="1D9E90C9" w14:textId="77777777" w:rsidR="00096B52" w:rsidRPr="00B27959" w:rsidRDefault="00096B52" w:rsidP="00B27959">
            <w:pPr>
              <w:ind w:left="76"/>
              <w:rPr>
                <w:sz w:val="20"/>
                <w:szCs w:val="20"/>
              </w:rPr>
            </w:pPr>
            <w:r w:rsidRPr="00B27959">
              <w:rPr>
                <w:sz w:val="20"/>
                <w:szCs w:val="20"/>
              </w:rPr>
              <w:t>(FAC+)</w:t>
            </w:r>
          </w:p>
        </w:tc>
        <w:tc>
          <w:tcPr>
            <w:tcW w:w="514" w:type="pct"/>
            <w:noWrap/>
            <w:vAlign w:val="center"/>
            <w:hideMark/>
          </w:tcPr>
          <w:p w14:paraId="6725215F" w14:textId="77B31CAD" w:rsidR="00096B52" w:rsidRPr="00B27959" w:rsidRDefault="00B52832" w:rsidP="00B27959">
            <w:pPr>
              <w:ind w:left="0"/>
              <w:rPr>
                <w:sz w:val="20"/>
                <w:szCs w:val="20"/>
              </w:rPr>
            </w:pPr>
            <w:r w:rsidRPr="00B27959">
              <w:rPr>
                <w:sz w:val="20"/>
                <w:szCs w:val="20"/>
              </w:rPr>
              <w:t>Static</w:t>
            </w:r>
          </w:p>
        </w:tc>
        <w:tc>
          <w:tcPr>
            <w:tcW w:w="1449" w:type="pct"/>
            <w:noWrap/>
            <w:hideMark/>
          </w:tcPr>
          <w:p w14:paraId="167E15C0" w14:textId="77777777" w:rsidR="00096B52" w:rsidRPr="00B27959" w:rsidRDefault="00096B52" w:rsidP="00B27959">
            <w:pPr>
              <w:ind w:left="76"/>
              <w:rPr>
                <w:sz w:val="20"/>
                <w:szCs w:val="20"/>
              </w:rPr>
            </w:pPr>
            <w:r w:rsidRPr="00B27959">
              <w:rPr>
                <w:sz w:val="20"/>
                <w:szCs w:val="20"/>
              </w:rPr>
              <w:t>Slight decline in 2020</w:t>
            </w:r>
          </w:p>
        </w:tc>
      </w:tr>
      <w:tr w:rsidR="00D46422" w:rsidRPr="005A5857" w14:paraId="41DD0D83" w14:textId="77777777" w:rsidTr="00B27959">
        <w:trPr>
          <w:trHeight w:val="289"/>
        </w:trPr>
        <w:tc>
          <w:tcPr>
            <w:tcW w:w="1167" w:type="pct"/>
            <w:noWrap/>
            <w:hideMark/>
          </w:tcPr>
          <w:p w14:paraId="0E0E6D0B" w14:textId="77777777" w:rsidR="00096B52" w:rsidRPr="00B27959" w:rsidRDefault="00096B52" w:rsidP="00B27959">
            <w:pPr>
              <w:ind w:left="60"/>
              <w:rPr>
                <w:sz w:val="20"/>
                <w:szCs w:val="20"/>
              </w:rPr>
            </w:pPr>
            <w:r w:rsidRPr="00B27959">
              <w:rPr>
                <w:sz w:val="20"/>
                <w:szCs w:val="20"/>
              </w:rPr>
              <w:t>Winward Greenline Stability Rating</w:t>
            </w:r>
          </w:p>
        </w:tc>
        <w:tc>
          <w:tcPr>
            <w:tcW w:w="608" w:type="pct"/>
            <w:noWrap/>
            <w:vAlign w:val="center"/>
            <w:hideMark/>
          </w:tcPr>
          <w:p w14:paraId="5A79F2EC" w14:textId="0D107795" w:rsidR="00096B52" w:rsidRPr="00B27959" w:rsidRDefault="00CB3DB9" w:rsidP="00B27959">
            <w:pPr>
              <w:ind w:left="76"/>
              <w:rPr>
                <w:sz w:val="20"/>
                <w:szCs w:val="20"/>
              </w:rPr>
            </w:pPr>
            <w:r w:rsidRPr="00B27959">
              <w:rPr>
                <w:sz w:val="20"/>
                <w:szCs w:val="20"/>
              </w:rPr>
              <w:t>6.44</w:t>
            </w:r>
          </w:p>
          <w:p w14:paraId="13691CDB" w14:textId="2E8FBFB6" w:rsidR="00096B52" w:rsidRPr="00B27959" w:rsidRDefault="00096B52" w:rsidP="00B27959">
            <w:pPr>
              <w:ind w:left="76"/>
              <w:rPr>
                <w:sz w:val="20"/>
                <w:szCs w:val="20"/>
              </w:rPr>
            </w:pPr>
            <w:r w:rsidRPr="00B27959">
              <w:rPr>
                <w:sz w:val="20"/>
                <w:szCs w:val="20"/>
              </w:rPr>
              <w:t>(</w:t>
            </w:r>
            <w:r w:rsidR="00CB3DB9" w:rsidRPr="00B27959">
              <w:rPr>
                <w:sz w:val="20"/>
                <w:szCs w:val="20"/>
              </w:rPr>
              <w:t>High</w:t>
            </w:r>
            <w:r w:rsidRPr="00B27959">
              <w:rPr>
                <w:sz w:val="20"/>
                <w:szCs w:val="20"/>
              </w:rPr>
              <w:t>)</w:t>
            </w:r>
          </w:p>
        </w:tc>
        <w:tc>
          <w:tcPr>
            <w:tcW w:w="607" w:type="pct"/>
            <w:vAlign w:val="center"/>
          </w:tcPr>
          <w:p w14:paraId="4284BE39" w14:textId="0E2F4D3A" w:rsidR="00096B52" w:rsidRPr="00B27959" w:rsidRDefault="00096B52" w:rsidP="00B27959">
            <w:pPr>
              <w:ind w:left="76"/>
              <w:rPr>
                <w:sz w:val="20"/>
                <w:szCs w:val="20"/>
              </w:rPr>
            </w:pPr>
            <w:r w:rsidRPr="00B27959">
              <w:rPr>
                <w:sz w:val="20"/>
                <w:szCs w:val="20"/>
              </w:rPr>
              <w:t>5.48</w:t>
            </w:r>
          </w:p>
          <w:p w14:paraId="7982612D" w14:textId="47B27500" w:rsidR="00096B52" w:rsidRPr="00B27959" w:rsidRDefault="00CB3DB9" w:rsidP="00B27959">
            <w:pPr>
              <w:ind w:left="76"/>
              <w:rPr>
                <w:sz w:val="20"/>
                <w:szCs w:val="20"/>
              </w:rPr>
            </w:pPr>
            <w:r w:rsidRPr="00B27959">
              <w:rPr>
                <w:sz w:val="20"/>
                <w:szCs w:val="20"/>
              </w:rPr>
              <w:t>(</w:t>
            </w:r>
            <w:r w:rsidR="00096B52" w:rsidRPr="00B27959">
              <w:rPr>
                <w:sz w:val="20"/>
                <w:szCs w:val="20"/>
              </w:rPr>
              <w:t>Mid)</w:t>
            </w:r>
          </w:p>
        </w:tc>
        <w:tc>
          <w:tcPr>
            <w:tcW w:w="656" w:type="pct"/>
            <w:vAlign w:val="center"/>
          </w:tcPr>
          <w:p w14:paraId="19D6FEB3" w14:textId="77777777" w:rsidR="00096B52" w:rsidRPr="00B27959" w:rsidRDefault="00096B52" w:rsidP="00B27959">
            <w:pPr>
              <w:ind w:left="76"/>
              <w:rPr>
                <w:sz w:val="20"/>
                <w:szCs w:val="20"/>
              </w:rPr>
            </w:pPr>
            <w:r w:rsidRPr="00B27959">
              <w:rPr>
                <w:sz w:val="20"/>
                <w:szCs w:val="20"/>
              </w:rPr>
              <w:t>&gt;5.5</w:t>
            </w:r>
          </w:p>
          <w:p w14:paraId="67F5DC89" w14:textId="77777777" w:rsidR="00096B52" w:rsidRPr="00B27959" w:rsidRDefault="00096B52" w:rsidP="00B27959">
            <w:pPr>
              <w:ind w:left="76"/>
              <w:rPr>
                <w:sz w:val="20"/>
                <w:szCs w:val="20"/>
              </w:rPr>
            </w:pPr>
            <w:r w:rsidRPr="00B27959">
              <w:rPr>
                <w:sz w:val="20"/>
                <w:szCs w:val="20"/>
              </w:rPr>
              <w:t>(Mid)</w:t>
            </w:r>
          </w:p>
        </w:tc>
        <w:tc>
          <w:tcPr>
            <w:tcW w:w="514" w:type="pct"/>
            <w:noWrap/>
            <w:vAlign w:val="center"/>
            <w:hideMark/>
          </w:tcPr>
          <w:p w14:paraId="5E1A66DC" w14:textId="06FFB3F9" w:rsidR="00096B52" w:rsidRPr="00B27959" w:rsidRDefault="00B52832" w:rsidP="00B27959">
            <w:pPr>
              <w:ind w:left="0"/>
              <w:rPr>
                <w:sz w:val="20"/>
                <w:szCs w:val="20"/>
              </w:rPr>
            </w:pPr>
            <w:r w:rsidRPr="00B27959">
              <w:rPr>
                <w:sz w:val="20"/>
                <w:szCs w:val="20"/>
              </w:rPr>
              <w:t>Static</w:t>
            </w:r>
          </w:p>
        </w:tc>
        <w:tc>
          <w:tcPr>
            <w:tcW w:w="1449" w:type="pct"/>
            <w:noWrap/>
            <w:hideMark/>
          </w:tcPr>
          <w:p w14:paraId="35E8DFC3" w14:textId="10893FA6" w:rsidR="00096B52" w:rsidRPr="00B27959" w:rsidRDefault="00B52832" w:rsidP="00B27959">
            <w:pPr>
              <w:ind w:left="76"/>
              <w:rPr>
                <w:sz w:val="20"/>
                <w:szCs w:val="20"/>
              </w:rPr>
            </w:pPr>
            <w:r w:rsidRPr="00B27959">
              <w:rPr>
                <w:sz w:val="20"/>
                <w:szCs w:val="20"/>
              </w:rPr>
              <w:t>Slight decline</w:t>
            </w:r>
            <w:r w:rsidR="00096B52" w:rsidRPr="00B27959">
              <w:rPr>
                <w:sz w:val="20"/>
                <w:szCs w:val="20"/>
              </w:rPr>
              <w:t>, does not meet objective</w:t>
            </w:r>
          </w:p>
        </w:tc>
      </w:tr>
      <w:tr w:rsidR="00D46422" w:rsidRPr="005A5857" w14:paraId="16A3D9D8" w14:textId="77777777" w:rsidTr="00B27959">
        <w:trPr>
          <w:trHeight w:val="289"/>
        </w:trPr>
        <w:tc>
          <w:tcPr>
            <w:tcW w:w="1167" w:type="pct"/>
            <w:noWrap/>
            <w:hideMark/>
          </w:tcPr>
          <w:p w14:paraId="585C33FA" w14:textId="77777777" w:rsidR="00096B52" w:rsidRPr="00B27959" w:rsidRDefault="00096B52" w:rsidP="00B27959">
            <w:pPr>
              <w:ind w:left="60"/>
              <w:rPr>
                <w:sz w:val="20"/>
                <w:szCs w:val="20"/>
              </w:rPr>
            </w:pPr>
            <w:r w:rsidRPr="00B27959">
              <w:rPr>
                <w:sz w:val="20"/>
                <w:szCs w:val="20"/>
              </w:rPr>
              <w:t>Hydric Plants (%)</w:t>
            </w:r>
          </w:p>
        </w:tc>
        <w:tc>
          <w:tcPr>
            <w:tcW w:w="608" w:type="pct"/>
            <w:noWrap/>
            <w:vAlign w:val="center"/>
            <w:hideMark/>
          </w:tcPr>
          <w:p w14:paraId="6442F268" w14:textId="18F793F4" w:rsidR="00096B52" w:rsidRPr="00B27959" w:rsidRDefault="00096B52" w:rsidP="00B27959">
            <w:pPr>
              <w:ind w:left="76"/>
              <w:rPr>
                <w:sz w:val="20"/>
                <w:szCs w:val="20"/>
              </w:rPr>
            </w:pPr>
            <w:r w:rsidRPr="00B27959">
              <w:rPr>
                <w:sz w:val="20"/>
                <w:szCs w:val="20"/>
              </w:rPr>
              <w:t>2</w:t>
            </w:r>
            <w:r w:rsidR="00CB3DB9" w:rsidRPr="00B27959">
              <w:rPr>
                <w:sz w:val="20"/>
                <w:szCs w:val="20"/>
              </w:rPr>
              <w:t>5</w:t>
            </w:r>
          </w:p>
        </w:tc>
        <w:tc>
          <w:tcPr>
            <w:tcW w:w="607" w:type="pct"/>
            <w:vAlign w:val="center"/>
          </w:tcPr>
          <w:p w14:paraId="775A71E5" w14:textId="2B7BD393" w:rsidR="00096B52" w:rsidRPr="00B27959" w:rsidRDefault="00096B52" w:rsidP="00B27959">
            <w:pPr>
              <w:ind w:left="76"/>
              <w:rPr>
                <w:sz w:val="20"/>
                <w:szCs w:val="20"/>
              </w:rPr>
            </w:pPr>
            <w:r w:rsidRPr="00B27959">
              <w:rPr>
                <w:sz w:val="20"/>
                <w:szCs w:val="20"/>
              </w:rPr>
              <w:t>2</w:t>
            </w:r>
            <w:r w:rsidR="00CB3DB9" w:rsidRPr="00B27959">
              <w:rPr>
                <w:sz w:val="20"/>
                <w:szCs w:val="20"/>
              </w:rPr>
              <w:t>8</w:t>
            </w:r>
          </w:p>
        </w:tc>
        <w:tc>
          <w:tcPr>
            <w:tcW w:w="656" w:type="pct"/>
            <w:vAlign w:val="center"/>
          </w:tcPr>
          <w:p w14:paraId="63D05088" w14:textId="77777777" w:rsidR="00096B52" w:rsidRPr="00B27959" w:rsidRDefault="00096B52" w:rsidP="00B27959">
            <w:pPr>
              <w:ind w:left="76"/>
              <w:rPr>
                <w:sz w:val="20"/>
                <w:szCs w:val="20"/>
              </w:rPr>
            </w:pPr>
            <w:r w:rsidRPr="00B27959">
              <w:rPr>
                <w:sz w:val="20"/>
                <w:szCs w:val="20"/>
              </w:rPr>
              <w:t>≥78</w:t>
            </w:r>
          </w:p>
        </w:tc>
        <w:tc>
          <w:tcPr>
            <w:tcW w:w="514" w:type="pct"/>
            <w:noWrap/>
            <w:vAlign w:val="center"/>
            <w:hideMark/>
          </w:tcPr>
          <w:p w14:paraId="49AE5270" w14:textId="2C49CF4F" w:rsidR="00096B52" w:rsidRPr="00B27959" w:rsidRDefault="00B52832" w:rsidP="00B27959">
            <w:pPr>
              <w:ind w:left="0"/>
              <w:rPr>
                <w:sz w:val="20"/>
                <w:szCs w:val="20"/>
              </w:rPr>
            </w:pPr>
            <w:r w:rsidRPr="00B27959">
              <w:rPr>
                <w:sz w:val="20"/>
                <w:szCs w:val="20"/>
              </w:rPr>
              <w:t>Static</w:t>
            </w:r>
          </w:p>
        </w:tc>
        <w:tc>
          <w:tcPr>
            <w:tcW w:w="1449" w:type="pct"/>
            <w:noWrap/>
            <w:hideMark/>
          </w:tcPr>
          <w:p w14:paraId="3F9D7525" w14:textId="6592FA4A" w:rsidR="00096B52" w:rsidRPr="00B27959" w:rsidRDefault="00096B52" w:rsidP="00B27959">
            <w:pPr>
              <w:ind w:left="76"/>
              <w:rPr>
                <w:sz w:val="20"/>
                <w:szCs w:val="20"/>
              </w:rPr>
            </w:pPr>
            <w:r w:rsidRPr="00B27959">
              <w:rPr>
                <w:sz w:val="20"/>
                <w:szCs w:val="20"/>
              </w:rPr>
              <w:t xml:space="preserve">Slight </w:t>
            </w:r>
            <w:r w:rsidR="00B52832" w:rsidRPr="00B27959">
              <w:rPr>
                <w:sz w:val="20"/>
                <w:szCs w:val="20"/>
              </w:rPr>
              <w:t>in</w:t>
            </w:r>
            <w:r w:rsidRPr="00B27959">
              <w:rPr>
                <w:sz w:val="20"/>
                <w:szCs w:val="20"/>
              </w:rPr>
              <w:t>crease in 2020</w:t>
            </w:r>
          </w:p>
        </w:tc>
      </w:tr>
      <w:tr w:rsidR="00D46422" w:rsidRPr="005A5857" w14:paraId="0AD5A332" w14:textId="77777777" w:rsidTr="00B27959">
        <w:trPr>
          <w:trHeight w:val="289"/>
        </w:trPr>
        <w:tc>
          <w:tcPr>
            <w:tcW w:w="1167" w:type="pct"/>
          </w:tcPr>
          <w:p w14:paraId="26E8FF4C" w14:textId="77777777" w:rsidR="00096B52" w:rsidRPr="00B27959" w:rsidRDefault="00096B52" w:rsidP="00B27959">
            <w:pPr>
              <w:ind w:left="60"/>
              <w:rPr>
                <w:sz w:val="20"/>
                <w:szCs w:val="20"/>
              </w:rPr>
            </w:pPr>
          </w:p>
        </w:tc>
        <w:tc>
          <w:tcPr>
            <w:tcW w:w="1215" w:type="pct"/>
            <w:gridSpan w:val="2"/>
          </w:tcPr>
          <w:p w14:paraId="5396D98E" w14:textId="77777777" w:rsidR="00096B52" w:rsidRPr="00B27959" w:rsidRDefault="00096B52" w:rsidP="00B27959">
            <w:pPr>
              <w:rPr>
                <w:sz w:val="20"/>
                <w:szCs w:val="20"/>
              </w:rPr>
            </w:pPr>
            <w:r w:rsidRPr="00B27959">
              <w:rPr>
                <w:sz w:val="20"/>
                <w:szCs w:val="20"/>
              </w:rPr>
              <w:t>Overall Trend</w:t>
            </w:r>
          </w:p>
        </w:tc>
        <w:tc>
          <w:tcPr>
            <w:tcW w:w="656" w:type="pct"/>
            <w:noWrap/>
            <w:vAlign w:val="center"/>
            <w:hideMark/>
          </w:tcPr>
          <w:p w14:paraId="5D24F959" w14:textId="3D1701A5" w:rsidR="00096B52" w:rsidRPr="00B27959" w:rsidRDefault="00B52832" w:rsidP="00B27959">
            <w:pPr>
              <w:rPr>
                <w:sz w:val="20"/>
                <w:szCs w:val="20"/>
              </w:rPr>
            </w:pPr>
            <w:r w:rsidRPr="00B27959">
              <w:rPr>
                <w:sz w:val="20"/>
                <w:szCs w:val="20"/>
              </w:rPr>
              <w:t>Static</w:t>
            </w:r>
          </w:p>
        </w:tc>
        <w:tc>
          <w:tcPr>
            <w:tcW w:w="1962" w:type="pct"/>
            <w:gridSpan w:val="2"/>
            <w:noWrap/>
            <w:hideMark/>
          </w:tcPr>
          <w:p w14:paraId="6E7EA039" w14:textId="2F513E8E" w:rsidR="00096B52" w:rsidRPr="00B27959" w:rsidRDefault="00B52832">
            <w:pPr>
              <w:rPr>
                <w:sz w:val="20"/>
                <w:szCs w:val="20"/>
              </w:rPr>
            </w:pPr>
            <w:r w:rsidRPr="00B27959">
              <w:rPr>
                <w:sz w:val="20"/>
                <w:szCs w:val="20"/>
              </w:rPr>
              <w:t>Slight decline</w:t>
            </w:r>
          </w:p>
        </w:tc>
      </w:tr>
    </w:tbl>
    <w:p w14:paraId="0CC1578C" w14:textId="5A461E2A" w:rsidR="00096B52" w:rsidRPr="00A7016A" w:rsidRDefault="00096B52" w:rsidP="00096B52">
      <w:pPr>
        <w:pStyle w:val="CaptionTable"/>
        <w:rPr>
          <w:rFonts w:ascii="Times New Roman" w:hAnsi="Times New Roman"/>
          <w:sz w:val="24"/>
          <w:szCs w:val="24"/>
        </w:rPr>
      </w:pPr>
      <w:r w:rsidRPr="00A7016A">
        <w:rPr>
          <w:rFonts w:ascii="Times New Roman" w:hAnsi="Times New Roman"/>
          <w:sz w:val="24"/>
          <w:szCs w:val="24"/>
        </w:rPr>
        <w:t xml:space="preserve">Table </w:t>
      </w:r>
      <w:r w:rsidR="004E143E" w:rsidRPr="00A7016A">
        <w:rPr>
          <w:rFonts w:ascii="Times New Roman" w:hAnsi="Times New Roman"/>
          <w:sz w:val="24"/>
          <w:szCs w:val="24"/>
        </w:rPr>
        <w:t>6</w:t>
      </w:r>
      <w:r w:rsidRPr="00A7016A">
        <w:rPr>
          <w:rFonts w:ascii="Times New Roman" w:hAnsi="Times New Roman"/>
          <w:sz w:val="24"/>
          <w:szCs w:val="24"/>
        </w:rPr>
        <w:t xml:space="preserve">.  Summary for </w:t>
      </w:r>
      <w:r w:rsidR="00D930EA" w:rsidRPr="00A7016A">
        <w:rPr>
          <w:rFonts w:ascii="Times New Roman" w:hAnsi="Times New Roman"/>
          <w:sz w:val="24"/>
          <w:szCs w:val="24"/>
        </w:rPr>
        <w:t>Deadhorse DMA</w:t>
      </w:r>
      <w:r w:rsidR="00E94BD1" w:rsidRPr="00A7016A">
        <w:rPr>
          <w:rFonts w:ascii="Times New Roman" w:hAnsi="Times New Roman"/>
          <w:sz w:val="24"/>
          <w:szCs w:val="24"/>
        </w:rPr>
        <w:t xml:space="preserve"> installed June 24, 2020 </w:t>
      </w:r>
    </w:p>
    <w:tbl>
      <w:tblPr>
        <w:tblStyle w:val="TableGrid"/>
        <w:tblW w:w="9720" w:type="dxa"/>
        <w:tblInd w:w="-5" w:type="dxa"/>
        <w:tblLayout w:type="fixed"/>
        <w:tblLook w:val="04A0" w:firstRow="1" w:lastRow="0" w:firstColumn="1" w:lastColumn="0" w:noHBand="0" w:noVBand="1"/>
      </w:tblPr>
      <w:tblGrid>
        <w:gridCol w:w="1793"/>
        <w:gridCol w:w="1177"/>
        <w:gridCol w:w="1080"/>
        <w:gridCol w:w="1620"/>
        <w:gridCol w:w="1170"/>
        <w:gridCol w:w="2880"/>
      </w:tblGrid>
      <w:tr w:rsidR="00096B52" w:rsidRPr="00A7016A" w14:paraId="1CF56C66" w14:textId="77777777" w:rsidTr="00B27959">
        <w:trPr>
          <w:trHeight w:val="485"/>
        </w:trPr>
        <w:tc>
          <w:tcPr>
            <w:tcW w:w="1793" w:type="dxa"/>
            <w:shd w:val="clear" w:color="auto" w:fill="FFFFFF" w:themeFill="background1"/>
            <w:noWrap/>
            <w:vAlign w:val="center"/>
            <w:hideMark/>
          </w:tcPr>
          <w:p w14:paraId="70484E34" w14:textId="77777777" w:rsidR="00096B52" w:rsidRPr="00A7016A" w:rsidRDefault="00096B52" w:rsidP="00B27959">
            <w:pPr>
              <w:ind w:left="75"/>
              <w:rPr>
                <w:b/>
                <w:bCs/>
                <w:sz w:val="20"/>
                <w:szCs w:val="20"/>
              </w:rPr>
            </w:pPr>
            <w:r w:rsidRPr="00A7016A">
              <w:rPr>
                <w:b/>
                <w:bCs/>
                <w:sz w:val="20"/>
                <w:szCs w:val="20"/>
              </w:rPr>
              <w:t>Indicator</w:t>
            </w:r>
          </w:p>
        </w:tc>
        <w:tc>
          <w:tcPr>
            <w:tcW w:w="1177" w:type="dxa"/>
            <w:shd w:val="clear" w:color="auto" w:fill="FFFFFF" w:themeFill="background1"/>
            <w:noWrap/>
            <w:vAlign w:val="center"/>
            <w:hideMark/>
          </w:tcPr>
          <w:p w14:paraId="20ED1183" w14:textId="3E466473" w:rsidR="00096B52" w:rsidRPr="00A7016A" w:rsidRDefault="00E94BD1" w:rsidP="00B27959">
            <w:pPr>
              <w:ind w:left="-14"/>
              <w:rPr>
                <w:b/>
                <w:bCs/>
                <w:sz w:val="20"/>
                <w:szCs w:val="20"/>
              </w:rPr>
            </w:pPr>
            <w:r w:rsidRPr="00A7016A">
              <w:rPr>
                <w:b/>
                <w:bCs/>
                <w:sz w:val="20"/>
                <w:szCs w:val="20"/>
              </w:rPr>
              <w:t>No prior history</w:t>
            </w:r>
          </w:p>
        </w:tc>
        <w:tc>
          <w:tcPr>
            <w:tcW w:w="1080" w:type="dxa"/>
            <w:shd w:val="clear" w:color="auto" w:fill="FFFFFF" w:themeFill="background1"/>
          </w:tcPr>
          <w:p w14:paraId="41C5825E" w14:textId="77777777" w:rsidR="00096B52" w:rsidRPr="00A7016A" w:rsidRDefault="00096B52" w:rsidP="00B27959">
            <w:pPr>
              <w:ind w:left="76"/>
              <w:rPr>
                <w:b/>
                <w:bCs/>
                <w:sz w:val="20"/>
                <w:szCs w:val="20"/>
              </w:rPr>
            </w:pPr>
          </w:p>
          <w:p w14:paraId="51271754" w14:textId="77777777" w:rsidR="00096B52" w:rsidRPr="00A7016A" w:rsidRDefault="00096B52" w:rsidP="00B27959">
            <w:pPr>
              <w:ind w:left="76"/>
              <w:rPr>
                <w:b/>
                <w:bCs/>
                <w:sz w:val="20"/>
                <w:szCs w:val="20"/>
              </w:rPr>
            </w:pPr>
            <w:r w:rsidRPr="00A7016A">
              <w:rPr>
                <w:b/>
                <w:bCs/>
                <w:sz w:val="20"/>
                <w:szCs w:val="20"/>
              </w:rPr>
              <w:t>2020</w:t>
            </w:r>
          </w:p>
          <w:p w14:paraId="63B6E0C8" w14:textId="77777777" w:rsidR="00096B52" w:rsidRPr="00A7016A" w:rsidRDefault="00096B52" w:rsidP="00B27959">
            <w:pPr>
              <w:pStyle w:val="ListParagraph"/>
              <w:ind w:left="76"/>
              <w:rPr>
                <w:b/>
                <w:bCs/>
                <w:sz w:val="20"/>
                <w:szCs w:val="20"/>
              </w:rPr>
            </w:pPr>
          </w:p>
        </w:tc>
        <w:tc>
          <w:tcPr>
            <w:tcW w:w="1620" w:type="dxa"/>
            <w:shd w:val="clear" w:color="auto" w:fill="FFFFFF" w:themeFill="background1"/>
            <w:vAlign w:val="center"/>
          </w:tcPr>
          <w:p w14:paraId="79DA4EBD" w14:textId="77777777" w:rsidR="00096B52" w:rsidRPr="00A7016A" w:rsidRDefault="00096B52" w:rsidP="00B27959">
            <w:pPr>
              <w:ind w:left="76"/>
              <w:rPr>
                <w:b/>
                <w:bCs/>
                <w:sz w:val="20"/>
                <w:szCs w:val="20"/>
              </w:rPr>
            </w:pPr>
            <w:r w:rsidRPr="00A7016A">
              <w:rPr>
                <w:b/>
                <w:bCs/>
                <w:sz w:val="20"/>
                <w:szCs w:val="20"/>
              </w:rPr>
              <w:t>Objective</w:t>
            </w:r>
          </w:p>
        </w:tc>
        <w:tc>
          <w:tcPr>
            <w:tcW w:w="1170" w:type="dxa"/>
            <w:shd w:val="clear" w:color="auto" w:fill="FFFFFF" w:themeFill="background1"/>
            <w:noWrap/>
            <w:vAlign w:val="center"/>
            <w:hideMark/>
          </w:tcPr>
          <w:p w14:paraId="470BB30D" w14:textId="77777777" w:rsidR="00096B52" w:rsidRPr="00A7016A" w:rsidRDefault="00096B52" w:rsidP="00B27959">
            <w:pPr>
              <w:ind w:left="0"/>
              <w:rPr>
                <w:b/>
                <w:bCs/>
                <w:sz w:val="20"/>
                <w:szCs w:val="20"/>
              </w:rPr>
            </w:pPr>
            <w:r w:rsidRPr="00A7016A">
              <w:rPr>
                <w:b/>
                <w:bCs/>
                <w:sz w:val="20"/>
                <w:szCs w:val="20"/>
              </w:rPr>
              <w:t>Trend</w:t>
            </w:r>
          </w:p>
        </w:tc>
        <w:tc>
          <w:tcPr>
            <w:tcW w:w="2880" w:type="dxa"/>
            <w:shd w:val="clear" w:color="auto" w:fill="FFFFFF" w:themeFill="background1"/>
            <w:noWrap/>
            <w:vAlign w:val="center"/>
            <w:hideMark/>
          </w:tcPr>
          <w:p w14:paraId="26E0E672" w14:textId="77777777" w:rsidR="00096B52" w:rsidRPr="00A7016A" w:rsidRDefault="00096B52" w:rsidP="00B27959">
            <w:pPr>
              <w:ind w:left="0"/>
              <w:rPr>
                <w:b/>
                <w:bCs/>
                <w:sz w:val="20"/>
                <w:szCs w:val="20"/>
              </w:rPr>
            </w:pPr>
            <w:r w:rsidRPr="00A7016A">
              <w:rPr>
                <w:b/>
                <w:bCs/>
                <w:sz w:val="20"/>
                <w:szCs w:val="20"/>
              </w:rPr>
              <w:t>Comments</w:t>
            </w:r>
          </w:p>
        </w:tc>
      </w:tr>
      <w:tr w:rsidR="00096B52" w:rsidRPr="00A7016A" w14:paraId="0C73870B" w14:textId="77777777" w:rsidTr="00B27959">
        <w:trPr>
          <w:trHeight w:val="289"/>
        </w:trPr>
        <w:tc>
          <w:tcPr>
            <w:tcW w:w="1793" w:type="dxa"/>
            <w:noWrap/>
            <w:hideMark/>
          </w:tcPr>
          <w:p w14:paraId="0E4C3563" w14:textId="77777777" w:rsidR="00096B52" w:rsidRPr="00A7016A" w:rsidRDefault="00096B52" w:rsidP="00B27959">
            <w:pPr>
              <w:ind w:left="75"/>
              <w:rPr>
                <w:sz w:val="20"/>
                <w:szCs w:val="20"/>
              </w:rPr>
            </w:pPr>
            <w:r w:rsidRPr="00A7016A">
              <w:rPr>
                <w:sz w:val="20"/>
                <w:szCs w:val="20"/>
              </w:rPr>
              <w:t>Average SH for all key species (in)</w:t>
            </w:r>
          </w:p>
        </w:tc>
        <w:tc>
          <w:tcPr>
            <w:tcW w:w="1177" w:type="dxa"/>
            <w:noWrap/>
            <w:vAlign w:val="center"/>
            <w:hideMark/>
          </w:tcPr>
          <w:p w14:paraId="1CA8D083" w14:textId="4406515D" w:rsidR="00096B52" w:rsidRPr="00A7016A" w:rsidRDefault="00096B52" w:rsidP="00B27959">
            <w:pPr>
              <w:ind w:left="-14"/>
              <w:rPr>
                <w:sz w:val="20"/>
                <w:szCs w:val="20"/>
              </w:rPr>
            </w:pPr>
          </w:p>
        </w:tc>
        <w:tc>
          <w:tcPr>
            <w:tcW w:w="1080" w:type="dxa"/>
            <w:vAlign w:val="center"/>
          </w:tcPr>
          <w:p w14:paraId="1353F840" w14:textId="45243014" w:rsidR="00096B52" w:rsidRPr="00A7016A" w:rsidRDefault="00E94BD1" w:rsidP="00B27959">
            <w:pPr>
              <w:ind w:left="76"/>
              <w:rPr>
                <w:sz w:val="20"/>
                <w:szCs w:val="20"/>
              </w:rPr>
            </w:pPr>
            <w:r w:rsidRPr="00A7016A">
              <w:rPr>
                <w:sz w:val="20"/>
                <w:szCs w:val="20"/>
              </w:rPr>
              <w:t>No use</w:t>
            </w:r>
          </w:p>
        </w:tc>
        <w:tc>
          <w:tcPr>
            <w:tcW w:w="1620" w:type="dxa"/>
            <w:vAlign w:val="center"/>
          </w:tcPr>
          <w:p w14:paraId="17676DBE" w14:textId="77777777" w:rsidR="00096B52" w:rsidRPr="00A7016A" w:rsidRDefault="00096B52" w:rsidP="00B27959">
            <w:pPr>
              <w:ind w:left="76"/>
              <w:rPr>
                <w:sz w:val="20"/>
                <w:szCs w:val="20"/>
              </w:rPr>
            </w:pPr>
            <w:r w:rsidRPr="00A7016A">
              <w:rPr>
                <w:sz w:val="20"/>
                <w:szCs w:val="20"/>
                <w:u w:val="single"/>
              </w:rPr>
              <w:t>&gt;</w:t>
            </w:r>
            <w:r w:rsidRPr="00A7016A">
              <w:rPr>
                <w:sz w:val="20"/>
                <w:szCs w:val="20"/>
              </w:rPr>
              <w:t>6</w:t>
            </w:r>
          </w:p>
        </w:tc>
        <w:tc>
          <w:tcPr>
            <w:tcW w:w="1170" w:type="dxa"/>
            <w:noWrap/>
            <w:vAlign w:val="center"/>
            <w:hideMark/>
          </w:tcPr>
          <w:p w14:paraId="75E9D83A" w14:textId="77777777" w:rsidR="00096B52" w:rsidRPr="00A7016A" w:rsidRDefault="00096B52" w:rsidP="00B27959">
            <w:pPr>
              <w:ind w:left="0"/>
              <w:rPr>
                <w:sz w:val="20"/>
                <w:szCs w:val="20"/>
              </w:rPr>
            </w:pPr>
          </w:p>
        </w:tc>
        <w:tc>
          <w:tcPr>
            <w:tcW w:w="2880" w:type="dxa"/>
            <w:noWrap/>
            <w:hideMark/>
          </w:tcPr>
          <w:p w14:paraId="271930D8" w14:textId="528B63F9" w:rsidR="00096B52" w:rsidRPr="00A7016A" w:rsidRDefault="005C5FB3" w:rsidP="00B27959">
            <w:pPr>
              <w:ind w:left="0"/>
              <w:rPr>
                <w:sz w:val="20"/>
                <w:szCs w:val="20"/>
              </w:rPr>
            </w:pPr>
            <w:r w:rsidRPr="00A7016A">
              <w:rPr>
                <w:sz w:val="20"/>
                <w:szCs w:val="20"/>
              </w:rPr>
              <w:t>Not grazed on this date</w:t>
            </w:r>
            <w:r w:rsidR="00096B52" w:rsidRPr="00A7016A">
              <w:rPr>
                <w:sz w:val="20"/>
                <w:szCs w:val="20"/>
              </w:rPr>
              <w:t xml:space="preserve"> </w:t>
            </w:r>
          </w:p>
        </w:tc>
      </w:tr>
      <w:tr w:rsidR="00096B52" w:rsidRPr="00A7016A" w14:paraId="2FB332C5" w14:textId="77777777" w:rsidTr="00B27959">
        <w:trPr>
          <w:trHeight w:val="289"/>
        </w:trPr>
        <w:tc>
          <w:tcPr>
            <w:tcW w:w="1793" w:type="dxa"/>
            <w:noWrap/>
            <w:hideMark/>
          </w:tcPr>
          <w:p w14:paraId="471069CB" w14:textId="77777777" w:rsidR="00096B52" w:rsidRPr="00A7016A" w:rsidRDefault="00096B52" w:rsidP="00B27959">
            <w:pPr>
              <w:ind w:left="75"/>
              <w:rPr>
                <w:sz w:val="20"/>
                <w:szCs w:val="20"/>
              </w:rPr>
            </w:pPr>
            <w:r w:rsidRPr="00A7016A">
              <w:rPr>
                <w:sz w:val="20"/>
                <w:szCs w:val="20"/>
              </w:rPr>
              <w:t>Woody Species Use (%)</w:t>
            </w:r>
          </w:p>
        </w:tc>
        <w:tc>
          <w:tcPr>
            <w:tcW w:w="1177" w:type="dxa"/>
            <w:noWrap/>
            <w:vAlign w:val="center"/>
            <w:hideMark/>
          </w:tcPr>
          <w:p w14:paraId="5BB75E72" w14:textId="416C44A3" w:rsidR="00096B52" w:rsidRPr="00A7016A" w:rsidRDefault="00096B52" w:rsidP="00B27959">
            <w:pPr>
              <w:ind w:left="-14"/>
              <w:rPr>
                <w:sz w:val="20"/>
                <w:szCs w:val="20"/>
              </w:rPr>
            </w:pPr>
          </w:p>
        </w:tc>
        <w:tc>
          <w:tcPr>
            <w:tcW w:w="1080" w:type="dxa"/>
            <w:vAlign w:val="center"/>
          </w:tcPr>
          <w:p w14:paraId="24AF231E" w14:textId="6D821714" w:rsidR="00096B52" w:rsidRPr="00A7016A" w:rsidRDefault="00E94BD1" w:rsidP="00B27959">
            <w:pPr>
              <w:ind w:left="76"/>
              <w:rPr>
                <w:sz w:val="20"/>
                <w:szCs w:val="20"/>
              </w:rPr>
            </w:pPr>
            <w:r w:rsidRPr="00A7016A">
              <w:rPr>
                <w:sz w:val="20"/>
                <w:szCs w:val="20"/>
              </w:rPr>
              <w:t>No use</w:t>
            </w:r>
          </w:p>
        </w:tc>
        <w:tc>
          <w:tcPr>
            <w:tcW w:w="1620" w:type="dxa"/>
            <w:vAlign w:val="center"/>
          </w:tcPr>
          <w:p w14:paraId="6DE2F85B" w14:textId="77777777" w:rsidR="00096B52" w:rsidRPr="00A7016A" w:rsidRDefault="00096B52" w:rsidP="00B27959">
            <w:pPr>
              <w:ind w:left="76"/>
              <w:rPr>
                <w:sz w:val="20"/>
                <w:szCs w:val="20"/>
              </w:rPr>
            </w:pPr>
            <w:r w:rsidRPr="00A7016A">
              <w:rPr>
                <w:sz w:val="20"/>
                <w:szCs w:val="20"/>
                <w:u w:val="single"/>
              </w:rPr>
              <w:t>&lt;</w:t>
            </w:r>
            <w:r w:rsidRPr="00A7016A">
              <w:rPr>
                <w:sz w:val="20"/>
                <w:szCs w:val="20"/>
              </w:rPr>
              <w:t>35</w:t>
            </w:r>
          </w:p>
        </w:tc>
        <w:tc>
          <w:tcPr>
            <w:tcW w:w="1170" w:type="dxa"/>
            <w:noWrap/>
            <w:vAlign w:val="center"/>
            <w:hideMark/>
          </w:tcPr>
          <w:p w14:paraId="375EBFAF" w14:textId="77777777" w:rsidR="00096B52" w:rsidRPr="00A7016A" w:rsidRDefault="00096B52" w:rsidP="00B27959">
            <w:pPr>
              <w:ind w:left="0"/>
              <w:rPr>
                <w:sz w:val="20"/>
                <w:szCs w:val="20"/>
              </w:rPr>
            </w:pPr>
          </w:p>
        </w:tc>
        <w:tc>
          <w:tcPr>
            <w:tcW w:w="2880" w:type="dxa"/>
            <w:noWrap/>
            <w:hideMark/>
          </w:tcPr>
          <w:p w14:paraId="48EC6388" w14:textId="4887311B" w:rsidR="00096B52" w:rsidRPr="00A7016A" w:rsidRDefault="00096B52" w:rsidP="00B27959">
            <w:pPr>
              <w:ind w:left="0"/>
              <w:rPr>
                <w:bCs/>
                <w:sz w:val="20"/>
                <w:szCs w:val="20"/>
              </w:rPr>
            </w:pPr>
          </w:p>
        </w:tc>
      </w:tr>
      <w:tr w:rsidR="00096B52" w:rsidRPr="00A7016A" w14:paraId="54127809" w14:textId="77777777" w:rsidTr="00B27959">
        <w:trPr>
          <w:trHeight w:val="289"/>
        </w:trPr>
        <w:tc>
          <w:tcPr>
            <w:tcW w:w="1793" w:type="dxa"/>
            <w:noWrap/>
            <w:hideMark/>
          </w:tcPr>
          <w:p w14:paraId="08AF8BA8" w14:textId="77777777" w:rsidR="00096B52" w:rsidRPr="00A7016A" w:rsidRDefault="00096B52" w:rsidP="00B27959">
            <w:pPr>
              <w:ind w:left="75"/>
              <w:rPr>
                <w:sz w:val="20"/>
                <w:szCs w:val="20"/>
              </w:rPr>
            </w:pPr>
            <w:r w:rsidRPr="00A7016A">
              <w:rPr>
                <w:sz w:val="20"/>
                <w:szCs w:val="20"/>
              </w:rPr>
              <w:lastRenderedPageBreak/>
              <w:t>Streambank Alteration (%)</w:t>
            </w:r>
          </w:p>
        </w:tc>
        <w:tc>
          <w:tcPr>
            <w:tcW w:w="1177" w:type="dxa"/>
            <w:noWrap/>
            <w:vAlign w:val="center"/>
            <w:hideMark/>
          </w:tcPr>
          <w:p w14:paraId="518D6893" w14:textId="7191F19C" w:rsidR="00096B52" w:rsidRPr="00A7016A" w:rsidRDefault="00096B52" w:rsidP="00B27959">
            <w:pPr>
              <w:ind w:left="-14"/>
              <w:rPr>
                <w:sz w:val="20"/>
                <w:szCs w:val="20"/>
              </w:rPr>
            </w:pPr>
          </w:p>
        </w:tc>
        <w:tc>
          <w:tcPr>
            <w:tcW w:w="1080" w:type="dxa"/>
            <w:vAlign w:val="center"/>
          </w:tcPr>
          <w:p w14:paraId="38F1A040" w14:textId="18553913" w:rsidR="00096B52" w:rsidRPr="00A7016A" w:rsidRDefault="00E94BD1" w:rsidP="00B27959">
            <w:pPr>
              <w:ind w:left="76"/>
              <w:rPr>
                <w:sz w:val="20"/>
                <w:szCs w:val="20"/>
              </w:rPr>
            </w:pPr>
            <w:r w:rsidRPr="00A7016A">
              <w:rPr>
                <w:sz w:val="20"/>
                <w:szCs w:val="20"/>
              </w:rPr>
              <w:t>1</w:t>
            </w:r>
          </w:p>
        </w:tc>
        <w:tc>
          <w:tcPr>
            <w:tcW w:w="1620" w:type="dxa"/>
            <w:vAlign w:val="center"/>
          </w:tcPr>
          <w:p w14:paraId="289D90B7" w14:textId="77777777" w:rsidR="00096B52" w:rsidRPr="00A7016A" w:rsidRDefault="00096B52" w:rsidP="00B27959">
            <w:pPr>
              <w:ind w:left="76"/>
              <w:rPr>
                <w:sz w:val="20"/>
                <w:szCs w:val="20"/>
              </w:rPr>
            </w:pPr>
            <w:r w:rsidRPr="00A7016A">
              <w:rPr>
                <w:sz w:val="20"/>
                <w:szCs w:val="20"/>
                <w:u w:val="single"/>
              </w:rPr>
              <w:t>&lt;</w:t>
            </w:r>
            <w:r w:rsidRPr="00A7016A">
              <w:rPr>
                <w:sz w:val="20"/>
                <w:szCs w:val="20"/>
              </w:rPr>
              <w:t>20</w:t>
            </w:r>
          </w:p>
        </w:tc>
        <w:tc>
          <w:tcPr>
            <w:tcW w:w="1170" w:type="dxa"/>
            <w:noWrap/>
            <w:vAlign w:val="center"/>
            <w:hideMark/>
          </w:tcPr>
          <w:p w14:paraId="3FC591AD" w14:textId="218B9DF3" w:rsidR="00096B52" w:rsidRPr="00A7016A" w:rsidRDefault="00096B52" w:rsidP="00B27959">
            <w:pPr>
              <w:ind w:left="0"/>
              <w:rPr>
                <w:sz w:val="20"/>
                <w:szCs w:val="20"/>
              </w:rPr>
            </w:pPr>
          </w:p>
        </w:tc>
        <w:tc>
          <w:tcPr>
            <w:tcW w:w="2880" w:type="dxa"/>
            <w:noWrap/>
            <w:hideMark/>
          </w:tcPr>
          <w:p w14:paraId="1972617B" w14:textId="0573B6FF" w:rsidR="00096B52" w:rsidRPr="00A7016A" w:rsidRDefault="00096B52" w:rsidP="00B27959">
            <w:pPr>
              <w:ind w:left="0"/>
              <w:rPr>
                <w:sz w:val="20"/>
                <w:szCs w:val="20"/>
              </w:rPr>
            </w:pPr>
          </w:p>
        </w:tc>
      </w:tr>
      <w:tr w:rsidR="00096B52" w:rsidRPr="00A7016A" w14:paraId="56EA4F21" w14:textId="77777777" w:rsidTr="00B27959">
        <w:trPr>
          <w:trHeight w:val="289"/>
        </w:trPr>
        <w:tc>
          <w:tcPr>
            <w:tcW w:w="1793" w:type="dxa"/>
            <w:noWrap/>
            <w:hideMark/>
          </w:tcPr>
          <w:p w14:paraId="6393CEA1" w14:textId="77777777" w:rsidR="00096B52" w:rsidRPr="00A7016A" w:rsidRDefault="00096B52" w:rsidP="00B27959">
            <w:pPr>
              <w:ind w:left="75"/>
              <w:rPr>
                <w:sz w:val="20"/>
                <w:szCs w:val="20"/>
              </w:rPr>
            </w:pPr>
            <w:r w:rsidRPr="00A7016A">
              <w:rPr>
                <w:sz w:val="20"/>
                <w:szCs w:val="20"/>
              </w:rPr>
              <w:t>Streambank Stability (%)</w:t>
            </w:r>
          </w:p>
        </w:tc>
        <w:tc>
          <w:tcPr>
            <w:tcW w:w="1177" w:type="dxa"/>
            <w:noWrap/>
            <w:vAlign w:val="center"/>
            <w:hideMark/>
          </w:tcPr>
          <w:p w14:paraId="386ADCC4" w14:textId="06EEEA0F" w:rsidR="00096B52" w:rsidRPr="00A7016A" w:rsidRDefault="00096B52" w:rsidP="00B27959">
            <w:pPr>
              <w:ind w:left="-14"/>
              <w:rPr>
                <w:sz w:val="20"/>
                <w:szCs w:val="20"/>
              </w:rPr>
            </w:pPr>
          </w:p>
        </w:tc>
        <w:tc>
          <w:tcPr>
            <w:tcW w:w="1080" w:type="dxa"/>
            <w:vAlign w:val="center"/>
          </w:tcPr>
          <w:p w14:paraId="76A422B7" w14:textId="4B0C5D79" w:rsidR="00096B52" w:rsidRPr="00A7016A" w:rsidRDefault="00E94BD1" w:rsidP="00B27959">
            <w:pPr>
              <w:ind w:left="76"/>
              <w:rPr>
                <w:sz w:val="20"/>
                <w:szCs w:val="20"/>
              </w:rPr>
            </w:pPr>
            <w:r w:rsidRPr="00A7016A">
              <w:rPr>
                <w:sz w:val="20"/>
                <w:szCs w:val="20"/>
              </w:rPr>
              <w:t>78</w:t>
            </w:r>
          </w:p>
        </w:tc>
        <w:tc>
          <w:tcPr>
            <w:tcW w:w="1620" w:type="dxa"/>
            <w:vAlign w:val="center"/>
          </w:tcPr>
          <w:p w14:paraId="11D4CCAE" w14:textId="77777777" w:rsidR="00096B52" w:rsidRPr="00A7016A" w:rsidRDefault="00096B52" w:rsidP="00B27959">
            <w:pPr>
              <w:ind w:left="76"/>
              <w:rPr>
                <w:sz w:val="20"/>
                <w:szCs w:val="20"/>
              </w:rPr>
            </w:pPr>
            <w:r w:rsidRPr="00A7016A">
              <w:rPr>
                <w:sz w:val="20"/>
                <w:szCs w:val="20"/>
                <w:u w:val="single"/>
              </w:rPr>
              <w:t>&gt;</w:t>
            </w:r>
            <w:r w:rsidRPr="00A7016A">
              <w:rPr>
                <w:sz w:val="20"/>
                <w:szCs w:val="20"/>
              </w:rPr>
              <w:t>90</w:t>
            </w:r>
          </w:p>
        </w:tc>
        <w:tc>
          <w:tcPr>
            <w:tcW w:w="1170" w:type="dxa"/>
            <w:noWrap/>
            <w:vAlign w:val="center"/>
            <w:hideMark/>
          </w:tcPr>
          <w:p w14:paraId="2BBCEEFA" w14:textId="0FCF5BD7" w:rsidR="00096B52" w:rsidRPr="00A7016A" w:rsidRDefault="00096B52" w:rsidP="00B27959">
            <w:pPr>
              <w:ind w:left="0"/>
              <w:rPr>
                <w:sz w:val="20"/>
                <w:szCs w:val="20"/>
              </w:rPr>
            </w:pPr>
          </w:p>
        </w:tc>
        <w:tc>
          <w:tcPr>
            <w:tcW w:w="2880" w:type="dxa"/>
            <w:noWrap/>
            <w:hideMark/>
          </w:tcPr>
          <w:p w14:paraId="0A28B667" w14:textId="1B1D949B" w:rsidR="00096B52" w:rsidRPr="00A7016A" w:rsidRDefault="005C5FB3" w:rsidP="00B27959">
            <w:pPr>
              <w:ind w:left="0"/>
              <w:rPr>
                <w:sz w:val="20"/>
                <w:szCs w:val="20"/>
              </w:rPr>
            </w:pPr>
            <w:r w:rsidRPr="00A7016A">
              <w:rPr>
                <w:sz w:val="20"/>
                <w:szCs w:val="20"/>
              </w:rPr>
              <w:t>D</w:t>
            </w:r>
            <w:r w:rsidR="00096B52" w:rsidRPr="00A7016A">
              <w:rPr>
                <w:sz w:val="20"/>
                <w:szCs w:val="20"/>
              </w:rPr>
              <w:t>oes not meet objective</w:t>
            </w:r>
          </w:p>
        </w:tc>
      </w:tr>
      <w:tr w:rsidR="00096B52" w:rsidRPr="00A7016A" w14:paraId="20F159F4" w14:textId="77777777" w:rsidTr="00B27959">
        <w:trPr>
          <w:trHeight w:val="289"/>
        </w:trPr>
        <w:tc>
          <w:tcPr>
            <w:tcW w:w="1793" w:type="dxa"/>
            <w:noWrap/>
            <w:hideMark/>
          </w:tcPr>
          <w:p w14:paraId="75EA8A4A" w14:textId="77777777" w:rsidR="00096B52" w:rsidRPr="00A7016A" w:rsidRDefault="00096B52" w:rsidP="00B27959">
            <w:pPr>
              <w:ind w:left="75"/>
              <w:rPr>
                <w:sz w:val="20"/>
                <w:szCs w:val="20"/>
              </w:rPr>
            </w:pPr>
            <w:r w:rsidRPr="00A7016A">
              <w:rPr>
                <w:sz w:val="20"/>
                <w:szCs w:val="20"/>
              </w:rPr>
              <w:t>Streambank Cover (%)</w:t>
            </w:r>
          </w:p>
        </w:tc>
        <w:tc>
          <w:tcPr>
            <w:tcW w:w="1177" w:type="dxa"/>
            <w:noWrap/>
            <w:vAlign w:val="center"/>
            <w:hideMark/>
          </w:tcPr>
          <w:p w14:paraId="41C828E7" w14:textId="0F249954" w:rsidR="00096B52" w:rsidRPr="00A7016A" w:rsidRDefault="00096B52" w:rsidP="00B27959">
            <w:pPr>
              <w:ind w:left="-14"/>
              <w:rPr>
                <w:sz w:val="20"/>
                <w:szCs w:val="20"/>
              </w:rPr>
            </w:pPr>
          </w:p>
        </w:tc>
        <w:tc>
          <w:tcPr>
            <w:tcW w:w="1080" w:type="dxa"/>
            <w:vAlign w:val="center"/>
          </w:tcPr>
          <w:p w14:paraId="36D5EEAD" w14:textId="7CCAD1C6" w:rsidR="00096B52" w:rsidRPr="00A7016A" w:rsidRDefault="00E94BD1" w:rsidP="00B27959">
            <w:pPr>
              <w:ind w:left="76"/>
              <w:rPr>
                <w:sz w:val="20"/>
                <w:szCs w:val="20"/>
              </w:rPr>
            </w:pPr>
            <w:r w:rsidRPr="00A7016A">
              <w:rPr>
                <w:sz w:val="20"/>
                <w:szCs w:val="20"/>
              </w:rPr>
              <w:t>53</w:t>
            </w:r>
          </w:p>
        </w:tc>
        <w:tc>
          <w:tcPr>
            <w:tcW w:w="1620" w:type="dxa"/>
            <w:vAlign w:val="center"/>
          </w:tcPr>
          <w:p w14:paraId="483224A2" w14:textId="77777777" w:rsidR="00096B52" w:rsidRPr="00A7016A" w:rsidRDefault="00096B52" w:rsidP="00B27959">
            <w:pPr>
              <w:ind w:left="76"/>
              <w:rPr>
                <w:sz w:val="20"/>
                <w:szCs w:val="20"/>
              </w:rPr>
            </w:pPr>
            <w:r w:rsidRPr="00A7016A">
              <w:rPr>
                <w:sz w:val="20"/>
                <w:szCs w:val="20"/>
                <w:u w:val="single"/>
              </w:rPr>
              <w:t>&gt;</w:t>
            </w:r>
            <w:r w:rsidRPr="00A7016A">
              <w:rPr>
                <w:sz w:val="20"/>
                <w:szCs w:val="20"/>
              </w:rPr>
              <w:t>90</w:t>
            </w:r>
          </w:p>
        </w:tc>
        <w:tc>
          <w:tcPr>
            <w:tcW w:w="1170" w:type="dxa"/>
            <w:noWrap/>
            <w:vAlign w:val="center"/>
            <w:hideMark/>
          </w:tcPr>
          <w:p w14:paraId="46B4471F" w14:textId="2103030D" w:rsidR="00096B52" w:rsidRPr="00A7016A" w:rsidRDefault="00096B52" w:rsidP="00B27959">
            <w:pPr>
              <w:ind w:left="0"/>
              <w:rPr>
                <w:sz w:val="20"/>
                <w:szCs w:val="20"/>
              </w:rPr>
            </w:pPr>
          </w:p>
        </w:tc>
        <w:tc>
          <w:tcPr>
            <w:tcW w:w="2880" w:type="dxa"/>
            <w:noWrap/>
            <w:hideMark/>
          </w:tcPr>
          <w:p w14:paraId="0D195C29" w14:textId="2E63357C" w:rsidR="00096B52" w:rsidRPr="00A7016A" w:rsidRDefault="0086396D" w:rsidP="00B27959">
            <w:pPr>
              <w:ind w:left="0"/>
              <w:rPr>
                <w:sz w:val="20"/>
                <w:szCs w:val="20"/>
              </w:rPr>
            </w:pPr>
            <w:r w:rsidRPr="00A7016A">
              <w:rPr>
                <w:sz w:val="20"/>
                <w:szCs w:val="20"/>
              </w:rPr>
              <w:t>D</w:t>
            </w:r>
            <w:r w:rsidR="00096B52" w:rsidRPr="00A7016A">
              <w:rPr>
                <w:sz w:val="20"/>
                <w:szCs w:val="20"/>
              </w:rPr>
              <w:t>oes not meet objective</w:t>
            </w:r>
          </w:p>
        </w:tc>
      </w:tr>
      <w:tr w:rsidR="00096B52" w:rsidRPr="00A7016A" w14:paraId="4710E77A" w14:textId="77777777" w:rsidTr="00B27959">
        <w:trPr>
          <w:trHeight w:val="289"/>
        </w:trPr>
        <w:tc>
          <w:tcPr>
            <w:tcW w:w="1793" w:type="dxa"/>
            <w:noWrap/>
            <w:hideMark/>
          </w:tcPr>
          <w:p w14:paraId="66149CF0" w14:textId="77777777" w:rsidR="00096B52" w:rsidRPr="00A7016A" w:rsidRDefault="00096B52" w:rsidP="00B27959">
            <w:pPr>
              <w:ind w:left="75"/>
              <w:rPr>
                <w:sz w:val="20"/>
                <w:szCs w:val="20"/>
              </w:rPr>
            </w:pPr>
            <w:r w:rsidRPr="00A7016A">
              <w:rPr>
                <w:sz w:val="20"/>
                <w:szCs w:val="20"/>
              </w:rPr>
              <w:t>Greenline Ecological Status Rating</w:t>
            </w:r>
          </w:p>
        </w:tc>
        <w:tc>
          <w:tcPr>
            <w:tcW w:w="1177" w:type="dxa"/>
            <w:noWrap/>
            <w:vAlign w:val="center"/>
            <w:hideMark/>
          </w:tcPr>
          <w:p w14:paraId="7C7503D9" w14:textId="67408316" w:rsidR="00096B52" w:rsidRPr="00A7016A" w:rsidRDefault="00096B52" w:rsidP="00B27959">
            <w:pPr>
              <w:ind w:left="-14"/>
              <w:rPr>
                <w:sz w:val="20"/>
                <w:szCs w:val="20"/>
              </w:rPr>
            </w:pPr>
          </w:p>
        </w:tc>
        <w:tc>
          <w:tcPr>
            <w:tcW w:w="1080" w:type="dxa"/>
            <w:vAlign w:val="center"/>
          </w:tcPr>
          <w:p w14:paraId="5833C922" w14:textId="49B3DA14" w:rsidR="00096B52" w:rsidRPr="00A7016A" w:rsidRDefault="00F34FD7" w:rsidP="00B27959">
            <w:pPr>
              <w:ind w:left="76"/>
              <w:rPr>
                <w:sz w:val="20"/>
                <w:szCs w:val="20"/>
              </w:rPr>
            </w:pPr>
            <w:r w:rsidRPr="00A7016A">
              <w:rPr>
                <w:sz w:val="20"/>
                <w:szCs w:val="20"/>
              </w:rPr>
              <w:t xml:space="preserve">44 </w:t>
            </w:r>
            <w:r w:rsidR="001C5BED" w:rsidRPr="00A7016A">
              <w:rPr>
                <w:sz w:val="20"/>
                <w:szCs w:val="20"/>
              </w:rPr>
              <w:t>±</w:t>
            </w:r>
            <w:r w:rsidRPr="00A7016A">
              <w:rPr>
                <w:sz w:val="20"/>
                <w:szCs w:val="20"/>
              </w:rPr>
              <w:t>5.75</w:t>
            </w:r>
          </w:p>
          <w:p w14:paraId="158B4A16" w14:textId="3F49FB83" w:rsidR="00F34FD7" w:rsidRPr="00A7016A" w:rsidRDefault="00F34FD7" w:rsidP="00B27959">
            <w:pPr>
              <w:ind w:left="76"/>
              <w:rPr>
                <w:sz w:val="20"/>
                <w:szCs w:val="20"/>
              </w:rPr>
            </w:pPr>
            <w:r w:rsidRPr="00A7016A">
              <w:rPr>
                <w:sz w:val="20"/>
                <w:szCs w:val="20"/>
              </w:rPr>
              <w:t>Mid</w:t>
            </w:r>
          </w:p>
        </w:tc>
        <w:tc>
          <w:tcPr>
            <w:tcW w:w="1620" w:type="dxa"/>
            <w:vAlign w:val="center"/>
          </w:tcPr>
          <w:p w14:paraId="1BA5F1E1" w14:textId="77777777" w:rsidR="00096B52" w:rsidRPr="00A7016A" w:rsidRDefault="00096B52" w:rsidP="00B27959">
            <w:pPr>
              <w:ind w:left="76"/>
              <w:rPr>
                <w:sz w:val="20"/>
                <w:szCs w:val="20"/>
              </w:rPr>
            </w:pPr>
            <w:r w:rsidRPr="00A7016A">
              <w:rPr>
                <w:sz w:val="20"/>
                <w:szCs w:val="20"/>
              </w:rPr>
              <w:t>&gt;52</w:t>
            </w:r>
          </w:p>
          <w:p w14:paraId="483D0DF1" w14:textId="77777777" w:rsidR="00096B52" w:rsidRPr="00A7016A" w:rsidRDefault="00096B52" w:rsidP="00B27959">
            <w:pPr>
              <w:ind w:left="76"/>
              <w:rPr>
                <w:sz w:val="20"/>
                <w:szCs w:val="20"/>
              </w:rPr>
            </w:pPr>
            <w:r w:rsidRPr="00A7016A">
              <w:rPr>
                <w:sz w:val="20"/>
                <w:szCs w:val="20"/>
              </w:rPr>
              <w:t>(Upper Mid)</w:t>
            </w:r>
          </w:p>
        </w:tc>
        <w:tc>
          <w:tcPr>
            <w:tcW w:w="1170" w:type="dxa"/>
            <w:noWrap/>
            <w:vAlign w:val="center"/>
            <w:hideMark/>
          </w:tcPr>
          <w:p w14:paraId="694CC225" w14:textId="0B98C931" w:rsidR="00096B52" w:rsidRPr="00A7016A" w:rsidRDefault="00096B52" w:rsidP="00B27959">
            <w:pPr>
              <w:ind w:left="0"/>
              <w:rPr>
                <w:sz w:val="20"/>
                <w:szCs w:val="20"/>
              </w:rPr>
            </w:pPr>
          </w:p>
        </w:tc>
        <w:tc>
          <w:tcPr>
            <w:tcW w:w="2880" w:type="dxa"/>
            <w:noWrap/>
            <w:hideMark/>
          </w:tcPr>
          <w:p w14:paraId="40C0FF5A" w14:textId="6BDB3BB9" w:rsidR="00096B52" w:rsidRPr="00A7016A" w:rsidRDefault="0086396D" w:rsidP="00B27959">
            <w:pPr>
              <w:ind w:left="0"/>
              <w:rPr>
                <w:sz w:val="20"/>
                <w:szCs w:val="20"/>
              </w:rPr>
            </w:pPr>
            <w:r w:rsidRPr="00A7016A">
              <w:rPr>
                <w:sz w:val="20"/>
                <w:szCs w:val="20"/>
              </w:rPr>
              <w:t>Does not</w:t>
            </w:r>
            <w:r w:rsidR="00096B52" w:rsidRPr="00A7016A">
              <w:rPr>
                <w:sz w:val="20"/>
                <w:szCs w:val="20"/>
              </w:rPr>
              <w:t xml:space="preserve"> meet objective </w:t>
            </w:r>
          </w:p>
        </w:tc>
      </w:tr>
      <w:tr w:rsidR="00096B52" w:rsidRPr="00A7016A" w14:paraId="61446A5C" w14:textId="77777777" w:rsidTr="00B27959">
        <w:trPr>
          <w:trHeight w:val="289"/>
        </w:trPr>
        <w:tc>
          <w:tcPr>
            <w:tcW w:w="1793" w:type="dxa"/>
            <w:noWrap/>
            <w:hideMark/>
          </w:tcPr>
          <w:p w14:paraId="6E8D0D9B" w14:textId="77777777" w:rsidR="00096B52" w:rsidRPr="00A7016A" w:rsidRDefault="00096B52" w:rsidP="00B27959">
            <w:pPr>
              <w:ind w:left="75"/>
              <w:rPr>
                <w:sz w:val="20"/>
                <w:szCs w:val="20"/>
              </w:rPr>
            </w:pPr>
            <w:r w:rsidRPr="00A7016A">
              <w:rPr>
                <w:sz w:val="20"/>
                <w:szCs w:val="20"/>
              </w:rPr>
              <w:t xml:space="preserve">Site Wetland Rating </w:t>
            </w:r>
          </w:p>
        </w:tc>
        <w:tc>
          <w:tcPr>
            <w:tcW w:w="1177" w:type="dxa"/>
            <w:noWrap/>
            <w:vAlign w:val="center"/>
            <w:hideMark/>
          </w:tcPr>
          <w:p w14:paraId="7988A268" w14:textId="30F1CE24" w:rsidR="00096B52" w:rsidRPr="00A7016A" w:rsidRDefault="00096B52" w:rsidP="00B27959">
            <w:pPr>
              <w:ind w:left="-14"/>
              <w:rPr>
                <w:sz w:val="20"/>
                <w:szCs w:val="20"/>
              </w:rPr>
            </w:pPr>
          </w:p>
        </w:tc>
        <w:tc>
          <w:tcPr>
            <w:tcW w:w="1080" w:type="dxa"/>
            <w:vAlign w:val="center"/>
          </w:tcPr>
          <w:p w14:paraId="09CB669F" w14:textId="0428D4BE" w:rsidR="00096B52" w:rsidRPr="00A7016A" w:rsidRDefault="00F34FD7" w:rsidP="00B27959">
            <w:pPr>
              <w:ind w:left="76"/>
              <w:rPr>
                <w:sz w:val="20"/>
                <w:szCs w:val="20"/>
              </w:rPr>
            </w:pPr>
            <w:r w:rsidRPr="00A7016A">
              <w:rPr>
                <w:sz w:val="20"/>
                <w:szCs w:val="20"/>
              </w:rPr>
              <w:t>45</w:t>
            </w:r>
            <w:r w:rsidR="00096B52" w:rsidRPr="00A7016A">
              <w:rPr>
                <w:sz w:val="20"/>
                <w:szCs w:val="20"/>
              </w:rPr>
              <w:t>±</w:t>
            </w:r>
            <w:r w:rsidRPr="00A7016A">
              <w:rPr>
                <w:sz w:val="20"/>
                <w:szCs w:val="20"/>
              </w:rPr>
              <w:t>3</w:t>
            </w:r>
          </w:p>
          <w:p w14:paraId="5B2C9888" w14:textId="1C1308FC" w:rsidR="00096B52" w:rsidRPr="00A7016A" w:rsidRDefault="00F34FD7" w:rsidP="00B27959">
            <w:pPr>
              <w:ind w:left="76"/>
              <w:rPr>
                <w:sz w:val="20"/>
                <w:szCs w:val="20"/>
              </w:rPr>
            </w:pPr>
            <w:r w:rsidRPr="00A7016A">
              <w:rPr>
                <w:sz w:val="20"/>
                <w:szCs w:val="20"/>
              </w:rPr>
              <w:t>FAC-</w:t>
            </w:r>
          </w:p>
        </w:tc>
        <w:tc>
          <w:tcPr>
            <w:tcW w:w="1620" w:type="dxa"/>
            <w:vAlign w:val="center"/>
          </w:tcPr>
          <w:p w14:paraId="58E49124" w14:textId="77777777" w:rsidR="00096B52" w:rsidRPr="00A7016A" w:rsidRDefault="00096B52" w:rsidP="00B27959">
            <w:pPr>
              <w:ind w:left="76"/>
              <w:rPr>
                <w:sz w:val="20"/>
                <w:szCs w:val="20"/>
              </w:rPr>
            </w:pPr>
            <w:r w:rsidRPr="00A7016A">
              <w:rPr>
                <w:sz w:val="20"/>
                <w:szCs w:val="20"/>
              </w:rPr>
              <w:t>≥58</w:t>
            </w:r>
          </w:p>
          <w:p w14:paraId="53A0F5F5" w14:textId="77777777" w:rsidR="00096B52" w:rsidRPr="00A7016A" w:rsidRDefault="00096B52" w:rsidP="00B27959">
            <w:pPr>
              <w:ind w:left="76"/>
              <w:rPr>
                <w:sz w:val="20"/>
                <w:szCs w:val="20"/>
              </w:rPr>
            </w:pPr>
            <w:r w:rsidRPr="00A7016A">
              <w:rPr>
                <w:sz w:val="20"/>
                <w:szCs w:val="20"/>
              </w:rPr>
              <w:t>(FAC+)</w:t>
            </w:r>
          </w:p>
        </w:tc>
        <w:tc>
          <w:tcPr>
            <w:tcW w:w="1170" w:type="dxa"/>
            <w:noWrap/>
            <w:vAlign w:val="center"/>
            <w:hideMark/>
          </w:tcPr>
          <w:p w14:paraId="610896B6" w14:textId="7F6B0A81" w:rsidR="00096B52" w:rsidRPr="00A7016A" w:rsidRDefault="00096B52" w:rsidP="00B27959">
            <w:pPr>
              <w:ind w:left="0"/>
              <w:rPr>
                <w:sz w:val="20"/>
                <w:szCs w:val="20"/>
              </w:rPr>
            </w:pPr>
          </w:p>
        </w:tc>
        <w:tc>
          <w:tcPr>
            <w:tcW w:w="2880" w:type="dxa"/>
            <w:noWrap/>
            <w:hideMark/>
          </w:tcPr>
          <w:p w14:paraId="218AB4BD" w14:textId="4EECA3F9" w:rsidR="00096B52" w:rsidRPr="00A7016A" w:rsidRDefault="00096B52" w:rsidP="00B27959">
            <w:pPr>
              <w:ind w:left="0"/>
              <w:rPr>
                <w:sz w:val="20"/>
                <w:szCs w:val="20"/>
              </w:rPr>
            </w:pPr>
          </w:p>
        </w:tc>
      </w:tr>
      <w:tr w:rsidR="00096B52" w:rsidRPr="00A7016A" w14:paraId="31D9D6F4" w14:textId="77777777" w:rsidTr="00B27959">
        <w:trPr>
          <w:trHeight w:val="289"/>
        </w:trPr>
        <w:tc>
          <w:tcPr>
            <w:tcW w:w="1793" w:type="dxa"/>
            <w:noWrap/>
            <w:hideMark/>
          </w:tcPr>
          <w:p w14:paraId="18B13200" w14:textId="77777777" w:rsidR="00096B52" w:rsidRPr="00A7016A" w:rsidRDefault="00096B52" w:rsidP="00B27959">
            <w:pPr>
              <w:ind w:left="75"/>
              <w:rPr>
                <w:sz w:val="20"/>
                <w:szCs w:val="20"/>
              </w:rPr>
            </w:pPr>
            <w:r w:rsidRPr="00A7016A">
              <w:rPr>
                <w:sz w:val="20"/>
                <w:szCs w:val="20"/>
              </w:rPr>
              <w:t>Winward Greenline Stability Rating</w:t>
            </w:r>
          </w:p>
        </w:tc>
        <w:tc>
          <w:tcPr>
            <w:tcW w:w="1177" w:type="dxa"/>
            <w:noWrap/>
            <w:vAlign w:val="center"/>
            <w:hideMark/>
          </w:tcPr>
          <w:p w14:paraId="582C96E4" w14:textId="7834F866" w:rsidR="00096B52" w:rsidRPr="00A7016A" w:rsidRDefault="00096B52" w:rsidP="00B27959">
            <w:pPr>
              <w:ind w:left="-14"/>
              <w:rPr>
                <w:sz w:val="20"/>
                <w:szCs w:val="20"/>
              </w:rPr>
            </w:pPr>
          </w:p>
        </w:tc>
        <w:tc>
          <w:tcPr>
            <w:tcW w:w="1080" w:type="dxa"/>
            <w:vAlign w:val="center"/>
          </w:tcPr>
          <w:p w14:paraId="60B88A14" w14:textId="77777777" w:rsidR="001C5BED" w:rsidRPr="00A7016A" w:rsidRDefault="00096B52" w:rsidP="00B27959">
            <w:pPr>
              <w:ind w:left="76"/>
              <w:rPr>
                <w:sz w:val="20"/>
                <w:szCs w:val="20"/>
              </w:rPr>
            </w:pPr>
            <w:r w:rsidRPr="00A7016A">
              <w:rPr>
                <w:sz w:val="20"/>
                <w:szCs w:val="20"/>
              </w:rPr>
              <w:t>5.48</w:t>
            </w:r>
          </w:p>
          <w:p w14:paraId="41A59061" w14:textId="22961D93" w:rsidR="00096B52" w:rsidRPr="00A7016A" w:rsidRDefault="001C5BED" w:rsidP="00B27959">
            <w:pPr>
              <w:ind w:left="76"/>
              <w:rPr>
                <w:sz w:val="20"/>
                <w:szCs w:val="20"/>
              </w:rPr>
            </w:pPr>
            <w:r w:rsidRPr="00A7016A">
              <w:rPr>
                <w:sz w:val="20"/>
                <w:szCs w:val="20"/>
              </w:rPr>
              <w:t>±</w:t>
            </w:r>
            <w:r w:rsidR="00F34FD7" w:rsidRPr="00A7016A">
              <w:rPr>
                <w:sz w:val="20"/>
                <w:szCs w:val="20"/>
              </w:rPr>
              <w:t>.</w:t>
            </w:r>
            <w:r w:rsidR="00096B52" w:rsidRPr="00A7016A">
              <w:rPr>
                <w:sz w:val="20"/>
                <w:szCs w:val="20"/>
              </w:rPr>
              <w:t>1</w:t>
            </w:r>
            <w:r w:rsidR="00F34FD7" w:rsidRPr="00A7016A">
              <w:rPr>
                <w:sz w:val="20"/>
                <w:szCs w:val="20"/>
              </w:rPr>
              <w:t>6</w:t>
            </w:r>
          </w:p>
          <w:p w14:paraId="07A0B421" w14:textId="77777777" w:rsidR="00096B52" w:rsidRPr="00A7016A" w:rsidRDefault="00096B52" w:rsidP="00B27959">
            <w:pPr>
              <w:ind w:left="76"/>
              <w:rPr>
                <w:sz w:val="20"/>
                <w:szCs w:val="20"/>
              </w:rPr>
            </w:pPr>
            <w:r w:rsidRPr="00A7016A">
              <w:rPr>
                <w:sz w:val="20"/>
                <w:szCs w:val="20"/>
              </w:rPr>
              <w:t>Mid)</w:t>
            </w:r>
          </w:p>
        </w:tc>
        <w:tc>
          <w:tcPr>
            <w:tcW w:w="1620" w:type="dxa"/>
            <w:vAlign w:val="center"/>
          </w:tcPr>
          <w:p w14:paraId="3B2B1621" w14:textId="77777777" w:rsidR="00096B52" w:rsidRPr="00A7016A" w:rsidRDefault="00096B52" w:rsidP="00B27959">
            <w:pPr>
              <w:ind w:left="76"/>
              <w:rPr>
                <w:sz w:val="20"/>
                <w:szCs w:val="20"/>
              </w:rPr>
            </w:pPr>
            <w:r w:rsidRPr="00A7016A">
              <w:rPr>
                <w:sz w:val="20"/>
                <w:szCs w:val="20"/>
              </w:rPr>
              <w:t>&gt;5.5</w:t>
            </w:r>
          </w:p>
          <w:p w14:paraId="7EFCB60B" w14:textId="77777777" w:rsidR="00096B52" w:rsidRPr="00A7016A" w:rsidRDefault="00096B52" w:rsidP="00B27959">
            <w:pPr>
              <w:ind w:left="76"/>
              <w:rPr>
                <w:sz w:val="20"/>
                <w:szCs w:val="20"/>
              </w:rPr>
            </w:pPr>
            <w:r w:rsidRPr="00A7016A">
              <w:rPr>
                <w:sz w:val="20"/>
                <w:szCs w:val="20"/>
              </w:rPr>
              <w:t>(Mid)</w:t>
            </w:r>
          </w:p>
        </w:tc>
        <w:tc>
          <w:tcPr>
            <w:tcW w:w="1170" w:type="dxa"/>
            <w:noWrap/>
            <w:vAlign w:val="center"/>
            <w:hideMark/>
          </w:tcPr>
          <w:p w14:paraId="3FE0BDD4" w14:textId="487EEF6C" w:rsidR="00096B52" w:rsidRPr="00A7016A" w:rsidRDefault="00096B52" w:rsidP="00B27959">
            <w:pPr>
              <w:ind w:left="0"/>
              <w:rPr>
                <w:sz w:val="20"/>
                <w:szCs w:val="20"/>
              </w:rPr>
            </w:pPr>
          </w:p>
        </w:tc>
        <w:tc>
          <w:tcPr>
            <w:tcW w:w="2880" w:type="dxa"/>
            <w:noWrap/>
            <w:hideMark/>
          </w:tcPr>
          <w:p w14:paraId="2BDF5558" w14:textId="675B706E" w:rsidR="00096B52" w:rsidRPr="00A7016A" w:rsidRDefault="00096B52" w:rsidP="00B27959">
            <w:pPr>
              <w:ind w:left="0"/>
              <w:rPr>
                <w:sz w:val="20"/>
                <w:szCs w:val="20"/>
              </w:rPr>
            </w:pPr>
          </w:p>
        </w:tc>
      </w:tr>
      <w:tr w:rsidR="00096B52" w:rsidRPr="00A7016A" w14:paraId="0ED8A0F8" w14:textId="77777777" w:rsidTr="00B27959">
        <w:trPr>
          <w:trHeight w:val="289"/>
        </w:trPr>
        <w:tc>
          <w:tcPr>
            <w:tcW w:w="1793" w:type="dxa"/>
            <w:noWrap/>
            <w:hideMark/>
          </w:tcPr>
          <w:p w14:paraId="0D181B25" w14:textId="77777777" w:rsidR="00096B52" w:rsidRPr="00A7016A" w:rsidRDefault="00096B52" w:rsidP="00B27959">
            <w:pPr>
              <w:ind w:left="75"/>
              <w:rPr>
                <w:sz w:val="20"/>
                <w:szCs w:val="20"/>
              </w:rPr>
            </w:pPr>
            <w:r w:rsidRPr="00A7016A">
              <w:rPr>
                <w:sz w:val="20"/>
                <w:szCs w:val="20"/>
              </w:rPr>
              <w:t>Hydric Plants (%)</w:t>
            </w:r>
          </w:p>
        </w:tc>
        <w:tc>
          <w:tcPr>
            <w:tcW w:w="1177" w:type="dxa"/>
            <w:noWrap/>
            <w:vAlign w:val="center"/>
            <w:hideMark/>
          </w:tcPr>
          <w:p w14:paraId="70D61F5F" w14:textId="497F9DDB" w:rsidR="00096B52" w:rsidRPr="00A7016A" w:rsidRDefault="00096B52" w:rsidP="00B27959">
            <w:pPr>
              <w:ind w:left="-14"/>
              <w:rPr>
                <w:sz w:val="20"/>
                <w:szCs w:val="20"/>
              </w:rPr>
            </w:pPr>
          </w:p>
        </w:tc>
        <w:tc>
          <w:tcPr>
            <w:tcW w:w="1080" w:type="dxa"/>
            <w:vAlign w:val="center"/>
          </w:tcPr>
          <w:p w14:paraId="617E83E9" w14:textId="70709526" w:rsidR="00096B52" w:rsidRPr="00A7016A" w:rsidRDefault="00F34FD7" w:rsidP="00B27959">
            <w:pPr>
              <w:rPr>
                <w:sz w:val="20"/>
                <w:szCs w:val="20"/>
              </w:rPr>
            </w:pPr>
            <w:r w:rsidRPr="00A7016A">
              <w:rPr>
                <w:sz w:val="20"/>
                <w:szCs w:val="20"/>
              </w:rPr>
              <w:t>10</w:t>
            </w:r>
          </w:p>
        </w:tc>
        <w:tc>
          <w:tcPr>
            <w:tcW w:w="1620" w:type="dxa"/>
            <w:vAlign w:val="center"/>
          </w:tcPr>
          <w:p w14:paraId="4D9759FC" w14:textId="77777777" w:rsidR="00096B52" w:rsidRPr="00A7016A" w:rsidRDefault="00096B52" w:rsidP="00B27959">
            <w:pPr>
              <w:ind w:left="76"/>
              <w:rPr>
                <w:sz w:val="20"/>
                <w:szCs w:val="20"/>
              </w:rPr>
            </w:pPr>
            <w:r w:rsidRPr="00A7016A">
              <w:rPr>
                <w:sz w:val="20"/>
                <w:szCs w:val="20"/>
              </w:rPr>
              <w:t>≥78</w:t>
            </w:r>
          </w:p>
        </w:tc>
        <w:tc>
          <w:tcPr>
            <w:tcW w:w="1170" w:type="dxa"/>
            <w:noWrap/>
            <w:vAlign w:val="center"/>
            <w:hideMark/>
          </w:tcPr>
          <w:p w14:paraId="4263F84E" w14:textId="48B3E61D" w:rsidR="00096B52" w:rsidRPr="00A7016A" w:rsidRDefault="00096B52" w:rsidP="00B27959">
            <w:pPr>
              <w:ind w:left="0"/>
              <w:rPr>
                <w:sz w:val="20"/>
                <w:szCs w:val="20"/>
              </w:rPr>
            </w:pPr>
          </w:p>
        </w:tc>
        <w:tc>
          <w:tcPr>
            <w:tcW w:w="2880" w:type="dxa"/>
            <w:noWrap/>
            <w:hideMark/>
          </w:tcPr>
          <w:p w14:paraId="1039A76C" w14:textId="39F51828" w:rsidR="00096B52" w:rsidRPr="00A7016A" w:rsidRDefault="00096B52" w:rsidP="00B27959">
            <w:pPr>
              <w:ind w:left="0"/>
              <w:rPr>
                <w:sz w:val="20"/>
                <w:szCs w:val="20"/>
              </w:rPr>
            </w:pPr>
          </w:p>
        </w:tc>
      </w:tr>
      <w:tr w:rsidR="00096B52" w:rsidRPr="00A7016A" w14:paraId="5A45F973" w14:textId="77777777" w:rsidTr="00B27959">
        <w:trPr>
          <w:trHeight w:val="289"/>
        </w:trPr>
        <w:tc>
          <w:tcPr>
            <w:tcW w:w="1793" w:type="dxa"/>
          </w:tcPr>
          <w:p w14:paraId="27A40F8E" w14:textId="77777777" w:rsidR="00096B52" w:rsidRPr="00A7016A" w:rsidRDefault="00096B52" w:rsidP="00B27959">
            <w:pPr>
              <w:rPr>
                <w:b/>
                <w:bCs/>
                <w:sz w:val="20"/>
                <w:szCs w:val="20"/>
              </w:rPr>
            </w:pPr>
          </w:p>
        </w:tc>
        <w:tc>
          <w:tcPr>
            <w:tcW w:w="3877" w:type="dxa"/>
            <w:gridSpan w:val="3"/>
          </w:tcPr>
          <w:p w14:paraId="5BF57CAC" w14:textId="77777777" w:rsidR="00096B52" w:rsidRPr="00A7016A" w:rsidRDefault="00096B52" w:rsidP="00B27959">
            <w:pPr>
              <w:rPr>
                <w:b/>
                <w:bCs/>
                <w:sz w:val="20"/>
                <w:szCs w:val="20"/>
              </w:rPr>
            </w:pPr>
            <w:r w:rsidRPr="00A7016A">
              <w:rPr>
                <w:b/>
                <w:bCs/>
                <w:sz w:val="20"/>
                <w:szCs w:val="20"/>
              </w:rPr>
              <w:t>Overall Trend</w:t>
            </w:r>
          </w:p>
        </w:tc>
        <w:tc>
          <w:tcPr>
            <w:tcW w:w="1170" w:type="dxa"/>
            <w:noWrap/>
            <w:vAlign w:val="center"/>
            <w:hideMark/>
          </w:tcPr>
          <w:p w14:paraId="73BCB443" w14:textId="21CD39FC" w:rsidR="00096B52" w:rsidRPr="00A7016A" w:rsidRDefault="005C5FB3" w:rsidP="00B27959">
            <w:pPr>
              <w:ind w:left="0"/>
              <w:rPr>
                <w:b/>
                <w:bCs/>
                <w:sz w:val="20"/>
                <w:szCs w:val="20"/>
              </w:rPr>
            </w:pPr>
            <w:r w:rsidRPr="00A7016A">
              <w:rPr>
                <w:b/>
                <w:bCs/>
                <w:sz w:val="20"/>
                <w:szCs w:val="20"/>
              </w:rPr>
              <w:t>Not Apparent</w:t>
            </w:r>
          </w:p>
        </w:tc>
        <w:tc>
          <w:tcPr>
            <w:tcW w:w="2880" w:type="dxa"/>
            <w:noWrap/>
            <w:hideMark/>
          </w:tcPr>
          <w:p w14:paraId="295C701E" w14:textId="0AAC9B77" w:rsidR="00096B52" w:rsidRPr="00A7016A" w:rsidRDefault="00096B52" w:rsidP="00B27959">
            <w:pPr>
              <w:ind w:left="0"/>
              <w:rPr>
                <w:sz w:val="20"/>
                <w:szCs w:val="20"/>
              </w:rPr>
            </w:pPr>
          </w:p>
        </w:tc>
      </w:tr>
    </w:tbl>
    <w:p w14:paraId="5FF673B2" w14:textId="09E5D043" w:rsidR="00096B52" w:rsidRPr="00A7016A" w:rsidRDefault="004E143E" w:rsidP="004E143E">
      <w:pPr>
        <w:rPr>
          <w:sz w:val="22"/>
          <w:szCs w:val="22"/>
        </w:rPr>
      </w:pPr>
      <w:r w:rsidRPr="00A7016A">
        <w:rPr>
          <w:sz w:val="22"/>
          <w:szCs w:val="22"/>
        </w:rPr>
        <w:t>.</w:t>
      </w:r>
    </w:p>
    <w:sectPr w:rsidR="00096B52" w:rsidRPr="00A7016A" w:rsidSect="00064690">
      <w:footerReference w:type="default" r:id="rId8"/>
      <w:pgSz w:w="12240" w:h="15840" w:code="1"/>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0942" w14:textId="77777777" w:rsidR="008F2A8D" w:rsidRDefault="008F2A8D" w:rsidP="00B26E95">
      <w:r>
        <w:separator/>
      </w:r>
    </w:p>
  </w:endnote>
  <w:endnote w:type="continuationSeparator" w:id="0">
    <w:p w14:paraId="280058D5" w14:textId="77777777" w:rsidR="008F2A8D" w:rsidRDefault="008F2A8D"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4D36" w14:textId="78E22ACB" w:rsidR="007D23C3" w:rsidRPr="00B3225E" w:rsidRDefault="007D23C3" w:rsidP="00B26E95">
    <w:pPr>
      <w:pStyle w:val="Footer"/>
      <w:rPr>
        <w:rFonts w:asciiTheme="minorHAnsi" w:hAnsiTheme="minorHAnsi"/>
      </w:rPr>
    </w:pPr>
    <w:r w:rsidRPr="00B3225E">
      <w:rPr>
        <w:rFonts w:asciiTheme="minorHAnsi" w:hAnsiTheme="minorHAnsi"/>
      </w:rPr>
      <w:ptab w:relativeTo="margin" w:alignment="right" w:leader="none"/>
    </w:r>
    <w:r w:rsidRPr="000C5117">
      <w:fldChar w:fldCharType="begin"/>
    </w:r>
    <w:r w:rsidRPr="000C5117">
      <w:instrText xml:space="preserve"> PAGE   \* MERGEFORMAT </w:instrText>
    </w:r>
    <w:r w:rsidRPr="000C5117">
      <w:fldChar w:fldCharType="separate"/>
    </w:r>
    <w:r w:rsidR="00524AF9">
      <w:rPr>
        <w:noProof/>
      </w:rPr>
      <w:t>3</w:t>
    </w:r>
    <w:r w:rsidRPr="000C5117">
      <w:rPr>
        <w:noProof/>
      </w:rPr>
      <w:fldChar w:fldCharType="end"/>
    </w:r>
  </w:p>
  <w:p w14:paraId="44C3E390" w14:textId="77777777" w:rsidR="007D23C3" w:rsidRDefault="007D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221F" w14:textId="77777777" w:rsidR="008F2A8D" w:rsidRDefault="008F2A8D" w:rsidP="00B26E95">
      <w:r>
        <w:separator/>
      </w:r>
    </w:p>
  </w:footnote>
  <w:footnote w:type="continuationSeparator" w:id="0">
    <w:p w14:paraId="3F93B360" w14:textId="77777777" w:rsidR="008F2A8D" w:rsidRDefault="008F2A8D"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F05"/>
    <w:multiLevelType w:val="hybridMultilevel"/>
    <w:tmpl w:val="22161324"/>
    <w:lvl w:ilvl="0" w:tplc="C49C39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60C4F"/>
    <w:multiLevelType w:val="hybridMultilevel"/>
    <w:tmpl w:val="EC6EF9A2"/>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E310E4"/>
    <w:multiLevelType w:val="hybridMultilevel"/>
    <w:tmpl w:val="481846FE"/>
    <w:lvl w:ilvl="0" w:tplc="A8007C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E0C1E5C"/>
    <w:multiLevelType w:val="hybridMultilevel"/>
    <w:tmpl w:val="83806AEE"/>
    <w:lvl w:ilvl="0" w:tplc="C49C39B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FF4DC3"/>
    <w:multiLevelType w:val="hybridMultilevel"/>
    <w:tmpl w:val="2034DFD0"/>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20FBA"/>
    <w:multiLevelType w:val="hybridMultilevel"/>
    <w:tmpl w:val="4A90F45C"/>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AD7511"/>
    <w:multiLevelType w:val="hybridMultilevel"/>
    <w:tmpl w:val="E006F7C4"/>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BC51BD"/>
    <w:multiLevelType w:val="hybridMultilevel"/>
    <w:tmpl w:val="0C9C17F4"/>
    <w:lvl w:ilvl="0" w:tplc="0409000F">
      <w:start w:val="1"/>
      <w:numFmt w:val="decimal"/>
      <w:lvlText w:val="%1."/>
      <w:lvlJc w:val="left"/>
      <w:pPr>
        <w:ind w:left="720" w:hanging="360"/>
      </w:pPr>
      <w:rPr>
        <w:rFonts w:hint="default"/>
      </w:rPr>
    </w:lvl>
    <w:lvl w:ilvl="1" w:tplc="2A02DE02">
      <w:start w:val="1"/>
      <w:numFmt w:val="lowerLetter"/>
      <w:lvlText w:val="%2."/>
      <w:lvlJc w:val="left"/>
      <w:pPr>
        <w:ind w:left="720" w:hanging="360"/>
      </w:pPr>
      <w:rPr>
        <w:rFonts w:ascii="Times New Roman" w:eastAsiaTheme="minorHAnsi" w:hAnsi="Times New Roman" w:cs="Times New Roman"/>
      </w:rPr>
    </w:lvl>
    <w:lvl w:ilvl="2" w:tplc="0409001B">
      <w:start w:val="1"/>
      <w:numFmt w:val="lowerRoman"/>
      <w:lvlText w:val="%3."/>
      <w:lvlJc w:val="right"/>
      <w:pPr>
        <w:ind w:left="90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2BCA4A70">
      <w:start w:val="8"/>
      <w:numFmt w:val="bullet"/>
      <w:lvlText w:val=""/>
      <w:lvlJc w:val="left"/>
      <w:pPr>
        <w:ind w:left="3600" w:hanging="360"/>
      </w:pPr>
      <w:rPr>
        <w:rFonts w:ascii="Wingdings" w:eastAsiaTheme="minorHAns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21D10"/>
    <w:multiLevelType w:val="hybridMultilevel"/>
    <w:tmpl w:val="5F6C4AA0"/>
    <w:lvl w:ilvl="0" w:tplc="C49C39B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8FC5E1F"/>
    <w:multiLevelType w:val="hybridMultilevel"/>
    <w:tmpl w:val="0560A67C"/>
    <w:lvl w:ilvl="0" w:tplc="C49C39B2">
      <w:start w:val="1"/>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668212620">
    <w:abstractNumId w:val="7"/>
  </w:num>
  <w:num w:numId="2" w16cid:durableId="1348171925">
    <w:abstractNumId w:val="2"/>
  </w:num>
  <w:num w:numId="3" w16cid:durableId="1053383628">
    <w:abstractNumId w:val="4"/>
  </w:num>
  <w:num w:numId="4" w16cid:durableId="1914699901">
    <w:abstractNumId w:val="5"/>
  </w:num>
  <w:num w:numId="5" w16cid:durableId="1719472072">
    <w:abstractNumId w:val="1"/>
  </w:num>
  <w:num w:numId="6" w16cid:durableId="1140074625">
    <w:abstractNumId w:val="8"/>
  </w:num>
  <w:num w:numId="7" w16cid:durableId="79909251">
    <w:abstractNumId w:val="3"/>
  </w:num>
  <w:num w:numId="8" w16cid:durableId="573322029">
    <w:abstractNumId w:val="0"/>
  </w:num>
  <w:num w:numId="9" w16cid:durableId="1227448936">
    <w:abstractNumId w:val="9"/>
  </w:num>
  <w:num w:numId="10" w16cid:durableId="12139238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09EC"/>
    <w:rsid w:val="00002787"/>
    <w:rsid w:val="00004E37"/>
    <w:rsid w:val="000111BA"/>
    <w:rsid w:val="00011DC9"/>
    <w:rsid w:val="00020E30"/>
    <w:rsid w:val="0002276A"/>
    <w:rsid w:val="00024780"/>
    <w:rsid w:val="00025A1D"/>
    <w:rsid w:val="00027540"/>
    <w:rsid w:val="00033381"/>
    <w:rsid w:val="0004016B"/>
    <w:rsid w:val="00040A4B"/>
    <w:rsid w:val="000429EE"/>
    <w:rsid w:val="00043520"/>
    <w:rsid w:val="00043802"/>
    <w:rsid w:val="00045711"/>
    <w:rsid w:val="00052F0A"/>
    <w:rsid w:val="00053E33"/>
    <w:rsid w:val="00060894"/>
    <w:rsid w:val="00064690"/>
    <w:rsid w:val="000649FC"/>
    <w:rsid w:val="000658ED"/>
    <w:rsid w:val="00067395"/>
    <w:rsid w:val="00067797"/>
    <w:rsid w:val="000678C2"/>
    <w:rsid w:val="0006798C"/>
    <w:rsid w:val="00067DEB"/>
    <w:rsid w:val="00071D53"/>
    <w:rsid w:val="00074D8A"/>
    <w:rsid w:val="000774E0"/>
    <w:rsid w:val="00082E5A"/>
    <w:rsid w:val="00083C46"/>
    <w:rsid w:val="00085FF5"/>
    <w:rsid w:val="00087505"/>
    <w:rsid w:val="000918DA"/>
    <w:rsid w:val="00096B52"/>
    <w:rsid w:val="000970AF"/>
    <w:rsid w:val="000A17FE"/>
    <w:rsid w:val="000A4A80"/>
    <w:rsid w:val="000A4C23"/>
    <w:rsid w:val="000B1D9C"/>
    <w:rsid w:val="000B3C81"/>
    <w:rsid w:val="000B4C1E"/>
    <w:rsid w:val="000C037E"/>
    <w:rsid w:val="000C3516"/>
    <w:rsid w:val="000C39E6"/>
    <w:rsid w:val="000C483A"/>
    <w:rsid w:val="000C5117"/>
    <w:rsid w:val="000D6929"/>
    <w:rsid w:val="000E04A0"/>
    <w:rsid w:val="000E1072"/>
    <w:rsid w:val="000F25FB"/>
    <w:rsid w:val="000F3CC6"/>
    <w:rsid w:val="000F7EC6"/>
    <w:rsid w:val="001003ED"/>
    <w:rsid w:val="0011754E"/>
    <w:rsid w:val="00122C16"/>
    <w:rsid w:val="00127915"/>
    <w:rsid w:val="001305A8"/>
    <w:rsid w:val="0013264F"/>
    <w:rsid w:val="00150490"/>
    <w:rsid w:val="00150F0C"/>
    <w:rsid w:val="00150FA7"/>
    <w:rsid w:val="0015391B"/>
    <w:rsid w:val="00154841"/>
    <w:rsid w:val="001555BA"/>
    <w:rsid w:val="00157DC1"/>
    <w:rsid w:val="001656D5"/>
    <w:rsid w:val="00170D14"/>
    <w:rsid w:val="0017700A"/>
    <w:rsid w:val="00182DA4"/>
    <w:rsid w:val="00183129"/>
    <w:rsid w:val="00183528"/>
    <w:rsid w:val="001843CD"/>
    <w:rsid w:val="00186F77"/>
    <w:rsid w:val="00190E33"/>
    <w:rsid w:val="00195D27"/>
    <w:rsid w:val="00196504"/>
    <w:rsid w:val="001A2917"/>
    <w:rsid w:val="001A4AA3"/>
    <w:rsid w:val="001B30F3"/>
    <w:rsid w:val="001B3F23"/>
    <w:rsid w:val="001C073B"/>
    <w:rsid w:val="001C4B3E"/>
    <w:rsid w:val="001C5903"/>
    <w:rsid w:val="001C5BED"/>
    <w:rsid w:val="001E5B50"/>
    <w:rsid w:val="001E6DB3"/>
    <w:rsid w:val="001F0992"/>
    <w:rsid w:val="001F5246"/>
    <w:rsid w:val="001F5CDC"/>
    <w:rsid w:val="00200992"/>
    <w:rsid w:val="00204BBE"/>
    <w:rsid w:val="0021213A"/>
    <w:rsid w:val="002123FD"/>
    <w:rsid w:val="00213228"/>
    <w:rsid w:val="0022043C"/>
    <w:rsid w:val="00220B03"/>
    <w:rsid w:val="00220B28"/>
    <w:rsid w:val="002218F0"/>
    <w:rsid w:val="00221A36"/>
    <w:rsid w:val="00222241"/>
    <w:rsid w:val="00222C76"/>
    <w:rsid w:val="00223CB4"/>
    <w:rsid w:val="00225FD8"/>
    <w:rsid w:val="00232092"/>
    <w:rsid w:val="0023354B"/>
    <w:rsid w:val="002339AC"/>
    <w:rsid w:val="002350DE"/>
    <w:rsid w:val="002359CC"/>
    <w:rsid w:val="00241351"/>
    <w:rsid w:val="00241CC7"/>
    <w:rsid w:val="002432B1"/>
    <w:rsid w:val="0024372C"/>
    <w:rsid w:val="00247B17"/>
    <w:rsid w:val="002510C9"/>
    <w:rsid w:val="0025480D"/>
    <w:rsid w:val="00255DB9"/>
    <w:rsid w:val="00256D74"/>
    <w:rsid w:val="002633DB"/>
    <w:rsid w:val="002664C6"/>
    <w:rsid w:val="0027542C"/>
    <w:rsid w:val="00284FDF"/>
    <w:rsid w:val="0028735E"/>
    <w:rsid w:val="00291036"/>
    <w:rsid w:val="00291987"/>
    <w:rsid w:val="0029356E"/>
    <w:rsid w:val="002956B0"/>
    <w:rsid w:val="002A2638"/>
    <w:rsid w:val="002A2CB4"/>
    <w:rsid w:val="002A6DEF"/>
    <w:rsid w:val="002B09A2"/>
    <w:rsid w:val="002B0ABB"/>
    <w:rsid w:val="002B622C"/>
    <w:rsid w:val="002B6320"/>
    <w:rsid w:val="002B74B5"/>
    <w:rsid w:val="002C4583"/>
    <w:rsid w:val="002D4F22"/>
    <w:rsid w:val="002E0ADC"/>
    <w:rsid w:val="002E291B"/>
    <w:rsid w:val="002E56B7"/>
    <w:rsid w:val="002F2831"/>
    <w:rsid w:val="002F316D"/>
    <w:rsid w:val="002F349A"/>
    <w:rsid w:val="002F69D3"/>
    <w:rsid w:val="003000F6"/>
    <w:rsid w:val="00301BB6"/>
    <w:rsid w:val="00303B85"/>
    <w:rsid w:val="00310B7A"/>
    <w:rsid w:val="00314770"/>
    <w:rsid w:val="00320CE6"/>
    <w:rsid w:val="00321AAB"/>
    <w:rsid w:val="00323E64"/>
    <w:rsid w:val="00326DDB"/>
    <w:rsid w:val="00331021"/>
    <w:rsid w:val="003348A3"/>
    <w:rsid w:val="00344FEC"/>
    <w:rsid w:val="00346478"/>
    <w:rsid w:val="003502C5"/>
    <w:rsid w:val="0035091E"/>
    <w:rsid w:val="00361A72"/>
    <w:rsid w:val="003647A5"/>
    <w:rsid w:val="00365136"/>
    <w:rsid w:val="00367EE7"/>
    <w:rsid w:val="00381E30"/>
    <w:rsid w:val="0038418F"/>
    <w:rsid w:val="00385319"/>
    <w:rsid w:val="0038539C"/>
    <w:rsid w:val="003860DC"/>
    <w:rsid w:val="003869A5"/>
    <w:rsid w:val="0039094B"/>
    <w:rsid w:val="00393C40"/>
    <w:rsid w:val="003972D2"/>
    <w:rsid w:val="003A369D"/>
    <w:rsid w:val="003A6399"/>
    <w:rsid w:val="003B1929"/>
    <w:rsid w:val="003B1AF9"/>
    <w:rsid w:val="003C2AC1"/>
    <w:rsid w:val="003C3209"/>
    <w:rsid w:val="003C6BF2"/>
    <w:rsid w:val="003C7300"/>
    <w:rsid w:val="003D14A0"/>
    <w:rsid w:val="003D37DE"/>
    <w:rsid w:val="003D4C4C"/>
    <w:rsid w:val="003D617E"/>
    <w:rsid w:val="003E1026"/>
    <w:rsid w:val="003E3C8B"/>
    <w:rsid w:val="003E5692"/>
    <w:rsid w:val="003F083E"/>
    <w:rsid w:val="003F344E"/>
    <w:rsid w:val="003F4208"/>
    <w:rsid w:val="003F4420"/>
    <w:rsid w:val="003F6CF0"/>
    <w:rsid w:val="004010DF"/>
    <w:rsid w:val="0040178F"/>
    <w:rsid w:val="00405F31"/>
    <w:rsid w:val="00406CF9"/>
    <w:rsid w:val="00411B6B"/>
    <w:rsid w:val="00412427"/>
    <w:rsid w:val="00414827"/>
    <w:rsid w:val="0041694A"/>
    <w:rsid w:val="00423529"/>
    <w:rsid w:val="004238E2"/>
    <w:rsid w:val="00424259"/>
    <w:rsid w:val="00435F68"/>
    <w:rsid w:val="00437249"/>
    <w:rsid w:val="00437923"/>
    <w:rsid w:val="00445393"/>
    <w:rsid w:val="00446AD3"/>
    <w:rsid w:val="004474A4"/>
    <w:rsid w:val="00451042"/>
    <w:rsid w:val="00453325"/>
    <w:rsid w:val="00461F1A"/>
    <w:rsid w:val="00464902"/>
    <w:rsid w:val="00464A77"/>
    <w:rsid w:val="00466A44"/>
    <w:rsid w:val="00471D9F"/>
    <w:rsid w:val="00485900"/>
    <w:rsid w:val="00487098"/>
    <w:rsid w:val="00491D36"/>
    <w:rsid w:val="00492231"/>
    <w:rsid w:val="00493B93"/>
    <w:rsid w:val="00495BD8"/>
    <w:rsid w:val="004975C2"/>
    <w:rsid w:val="004A2F1E"/>
    <w:rsid w:val="004A5B7E"/>
    <w:rsid w:val="004A7A38"/>
    <w:rsid w:val="004B00F5"/>
    <w:rsid w:val="004B00FD"/>
    <w:rsid w:val="004B11EC"/>
    <w:rsid w:val="004B166C"/>
    <w:rsid w:val="004B4065"/>
    <w:rsid w:val="004B4D82"/>
    <w:rsid w:val="004C50C9"/>
    <w:rsid w:val="004D38FB"/>
    <w:rsid w:val="004D5E17"/>
    <w:rsid w:val="004D6B16"/>
    <w:rsid w:val="004E143E"/>
    <w:rsid w:val="004E20C9"/>
    <w:rsid w:val="004E3E52"/>
    <w:rsid w:val="004E48B3"/>
    <w:rsid w:val="004E4F05"/>
    <w:rsid w:val="004E7F11"/>
    <w:rsid w:val="004F3B99"/>
    <w:rsid w:val="004F414D"/>
    <w:rsid w:val="00503140"/>
    <w:rsid w:val="005038A5"/>
    <w:rsid w:val="00505C16"/>
    <w:rsid w:val="00505C44"/>
    <w:rsid w:val="00511111"/>
    <w:rsid w:val="00513324"/>
    <w:rsid w:val="00520D47"/>
    <w:rsid w:val="00520ED4"/>
    <w:rsid w:val="005217A4"/>
    <w:rsid w:val="00521F4C"/>
    <w:rsid w:val="0052244D"/>
    <w:rsid w:val="00524AF9"/>
    <w:rsid w:val="005308EB"/>
    <w:rsid w:val="00531F34"/>
    <w:rsid w:val="005328C5"/>
    <w:rsid w:val="00534CBE"/>
    <w:rsid w:val="00534E79"/>
    <w:rsid w:val="00536750"/>
    <w:rsid w:val="00544005"/>
    <w:rsid w:val="0054486D"/>
    <w:rsid w:val="00551D2C"/>
    <w:rsid w:val="00553E84"/>
    <w:rsid w:val="00556AE3"/>
    <w:rsid w:val="005609B2"/>
    <w:rsid w:val="0056194D"/>
    <w:rsid w:val="0056499C"/>
    <w:rsid w:val="005651D0"/>
    <w:rsid w:val="00573273"/>
    <w:rsid w:val="005749D4"/>
    <w:rsid w:val="005756E4"/>
    <w:rsid w:val="00575A19"/>
    <w:rsid w:val="0057686A"/>
    <w:rsid w:val="00577107"/>
    <w:rsid w:val="00584125"/>
    <w:rsid w:val="005875A4"/>
    <w:rsid w:val="00591620"/>
    <w:rsid w:val="0059449C"/>
    <w:rsid w:val="005967F3"/>
    <w:rsid w:val="005971D1"/>
    <w:rsid w:val="005A0263"/>
    <w:rsid w:val="005A39DE"/>
    <w:rsid w:val="005A3D9D"/>
    <w:rsid w:val="005A7C22"/>
    <w:rsid w:val="005B3401"/>
    <w:rsid w:val="005B422B"/>
    <w:rsid w:val="005B4BBD"/>
    <w:rsid w:val="005B586A"/>
    <w:rsid w:val="005C3134"/>
    <w:rsid w:val="005C5FB3"/>
    <w:rsid w:val="005C798C"/>
    <w:rsid w:val="005D5918"/>
    <w:rsid w:val="005D6A3B"/>
    <w:rsid w:val="005D78A2"/>
    <w:rsid w:val="005D7C2C"/>
    <w:rsid w:val="005E1881"/>
    <w:rsid w:val="005E1FCA"/>
    <w:rsid w:val="005E7E4D"/>
    <w:rsid w:val="005F0EB9"/>
    <w:rsid w:val="005F1D84"/>
    <w:rsid w:val="005F2FA3"/>
    <w:rsid w:val="005F38AF"/>
    <w:rsid w:val="005F394A"/>
    <w:rsid w:val="005F7EA5"/>
    <w:rsid w:val="00600C63"/>
    <w:rsid w:val="00602AC2"/>
    <w:rsid w:val="0061150E"/>
    <w:rsid w:val="00614607"/>
    <w:rsid w:val="00620950"/>
    <w:rsid w:val="00622708"/>
    <w:rsid w:val="0062353B"/>
    <w:rsid w:val="00623A6C"/>
    <w:rsid w:val="006246C0"/>
    <w:rsid w:val="006255D1"/>
    <w:rsid w:val="00627099"/>
    <w:rsid w:val="0062799B"/>
    <w:rsid w:val="00631171"/>
    <w:rsid w:val="00631D1D"/>
    <w:rsid w:val="006323CF"/>
    <w:rsid w:val="00634FC9"/>
    <w:rsid w:val="00641137"/>
    <w:rsid w:val="00641BFE"/>
    <w:rsid w:val="00642A3C"/>
    <w:rsid w:val="00642B07"/>
    <w:rsid w:val="00644047"/>
    <w:rsid w:val="00650AFD"/>
    <w:rsid w:val="00653463"/>
    <w:rsid w:val="00654059"/>
    <w:rsid w:val="00655C94"/>
    <w:rsid w:val="00663350"/>
    <w:rsid w:val="00666C8E"/>
    <w:rsid w:val="00670BA4"/>
    <w:rsid w:val="006714F5"/>
    <w:rsid w:val="006756F0"/>
    <w:rsid w:val="00690B52"/>
    <w:rsid w:val="006A06FD"/>
    <w:rsid w:val="006A35B2"/>
    <w:rsid w:val="006B023D"/>
    <w:rsid w:val="006B78AB"/>
    <w:rsid w:val="006C1EBE"/>
    <w:rsid w:val="006C34A9"/>
    <w:rsid w:val="006C4EEB"/>
    <w:rsid w:val="006D2C45"/>
    <w:rsid w:val="006D44E5"/>
    <w:rsid w:val="006E219D"/>
    <w:rsid w:val="006E521F"/>
    <w:rsid w:val="006E5E48"/>
    <w:rsid w:val="006E6767"/>
    <w:rsid w:val="007048A4"/>
    <w:rsid w:val="007059F4"/>
    <w:rsid w:val="00705E0B"/>
    <w:rsid w:val="00707C81"/>
    <w:rsid w:val="00710623"/>
    <w:rsid w:val="00710C1F"/>
    <w:rsid w:val="007126D5"/>
    <w:rsid w:val="00712BF3"/>
    <w:rsid w:val="0071312C"/>
    <w:rsid w:val="007202D5"/>
    <w:rsid w:val="00720D14"/>
    <w:rsid w:val="007256C3"/>
    <w:rsid w:val="007319E1"/>
    <w:rsid w:val="00731EEB"/>
    <w:rsid w:val="0073299B"/>
    <w:rsid w:val="0073373A"/>
    <w:rsid w:val="00735914"/>
    <w:rsid w:val="00735D47"/>
    <w:rsid w:val="00736149"/>
    <w:rsid w:val="00736DAF"/>
    <w:rsid w:val="00740643"/>
    <w:rsid w:val="0074231B"/>
    <w:rsid w:val="0074565A"/>
    <w:rsid w:val="007476D5"/>
    <w:rsid w:val="00760846"/>
    <w:rsid w:val="00760ACC"/>
    <w:rsid w:val="00765AB2"/>
    <w:rsid w:val="00774195"/>
    <w:rsid w:val="00774D93"/>
    <w:rsid w:val="007773F3"/>
    <w:rsid w:val="00781285"/>
    <w:rsid w:val="007812DE"/>
    <w:rsid w:val="007813E6"/>
    <w:rsid w:val="007846E2"/>
    <w:rsid w:val="00784B23"/>
    <w:rsid w:val="00785459"/>
    <w:rsid w:val="00786E49"/>
    <w:rsid w:val="007875E5"/>
    <w:rsid w:val="007906E2"/>
    <w:rsid w:val="00790E8B"/>
    <w:rsid w:val="00795467"/>
    <w:rsid w:val="00797A74"/>
    <w:rsid w:val="007A2E92"/>
    <w:rsid w:val="007B7E7D"/>
    <w:rsid w:val="007C7B12"/>
    <w:rsid w:val="007D23C3"/>
    <w:rsid w:val="007D5B53"/>
    <w:rsid w:val="007E00A1"/>
    <w:rsid w:val="007E1127"/>
    <w:rsid w:val="007E3B89"/>
    <w:rsid w:val="007E70F6"/>
    <w:rsid w:val="007F170D"/>
    <w:rsid w:val="007F241E"/>
    <w:rsid w:val="007F2B0B"/>
    <w:rsid w:val="007F3FE4"/>
    <w:rsid w:val="007F6EF9"/>
    <w:rsid w:val="0080323D"/>
    <w:rsid w:val="00805947"/>
    <w:rsid w:val="00805A69"/>
    <w:rsid w:val="00811136"/>
    <w:rsid w:val="00816330"/>
    <w:rsid w:val="00817B69"/>
    <w:rsid w:val="00820FAE"/>
    <w:rsid w:val="008221F2"/>
    <w:rsid w:val="008227D6"/>
    <w:rsid w:val="00825698"/>
    <w:rsid w:val="00826E02"/>
    <w:rsid w:val="00836983"/>
    <w:rsid w:val="00837FF2"/>
    <w:rsid w:val="00841F4D"/>
    <w:rsid w:val="0084202D"/>
    <w:rsid w:val="00842AC2"/>
    <w:rsid w:val="00844489"/>
    <w:rsid w:val="0085259C"/>
    <w:rsid w:val="00852833"/>
    <w:rsid w:val="00852F6A"/>
    <w:rsid w:val="0085778A"/>
    <w:rsid w:val="00860BD3"/>
    <w:rsid w:val="00861C89"/>
    <w:rsid w:val="00862A76"/>
    <w:rsid w:val="0086396D"/>
    <w:rsid w:val="0086468C"/>
    <w:rsid w:val="00865961"/>
    <w:rsid w:val="00872D1F"/>
    <w:rsid w:val="00876B45"/>
    <w:rsid w:val="00880CB9"/>
    <w:rsid w:val="00886F81"/>
    <w:rsid w:val="00886FFD"/>
    <w:rsid w:val="008933F1"/>
    <w:rsid w:val="00893C15"/>
    <w:rsid w:val="008A0086"/>
    <w:rsid w:val="008A011E"/>
    <w:rsid w:val="008B3F08"/>
    <w:rsid w:val="008B544E"/>
    <w:rsid w:val="008B78A3"/>
    <w:rsid w:val="008C0F8B"/>
    <w:rsid w:val="008C2351"/>
    <w:rsid w:val="008D487C"/>
    <w:rsid w:val="008D56A1"/>
    <w:rsid w:val="008E4D14"/>
    <w:rsid w:val="008E5989"/>
    <w:rsid w:val="008E64FE"/>
    <w:rsid w:val="008E7BF4"/>
    <w:rsid w:val="008F03B5"/>
    <w:rsid w:val="008F0D47"/>
    <w:rsid w:val="008F2A8D"/>
    <w:rsid w:val="00913239"/>
    <w:rsid w:val="00914B82"/>
    <w:rsid w:val="0091608A"/>
    <w:rsid w:val="00917372"/>
    <w:rsid w:val="0092104F"/>
    <w:rsid w:val="009242EC"/>
    <w:rsid w:val="00933801"/>
    <w:rsid w:val="00934EA1"/>
    <w:rsid w:val="009375E9"/>
    <w:rsid w:val="00937E2D"/>
    <w:rsid w:val="00943463"/>
    <w:rsid w:val="00944726"/>
    <w:rsid w:val="009448A8"/>
    <w:rsid w:val="00963114"/>
    <w:rsid w:val="00964FFF"/>
    <w:rsid w:val="0096536D"/>
    <w:rsid w:val="00967DC5"/>
    <w:rsid w:val="00970E25"/>
    <w:rsid w:val="0097643D"/>
    <w:rsid w:val="00977333"/>
    <w:rsid w:val="009774E3"/>
    <w:rsid w:val="00977B5D"/>
    <w:rsid w:val="0098377F"/>
    <w:rsid w:val="00987276"/>
    <w:rsid w:val="0098792A"/>
    <w:rsid w:val="00990326"/>
    <w:rsid w:val="0099204A"/>
    <w:rsid w:val="00992E86"/>
    <w:rsid w:val="00994934"/>
    <w:rsid w:val="009953B8"/>
    <w:rsid w:val="009B1794"/>
    <w:rsid w:val="009B45C3"/>
    <w:rsid w:val="009B589A"/>
    <w:rsid w:val="009B5B2E"/>
    <w:rsid w:val="009B6C72"/>
    <w:rsid w:val="009C53F5"/>
    <w:rsid w:val="009C7022"/>
    <w:rsid w:val="009D0696"/>
    <w:rsid w:val="009D3DC9"/>
    <w:rsid w:val="009D79D9"/>
    <w:rsid w:val="009D7FEB"/>
    <w:rsid w:val="009E1817"/>
    <w:rsid w:val="009E3B52"/>
    <w:rsid w:val="009F0775"/>
    <w:rsid w:val="009F08A4"/>
    <w:rsid w:val="009F1694"/>
    <w:rsid w:val="009F5834"/>
    <w:rsid w:val="00A0145D"/>
    <w:rsid w:val="00A0376D"/>
    <w:rsid w:val="00A057C4"/>
    <w:rsid w:val="00A1195E"/>
    <w:rsid w:val="00A2083C"/>
    <w:rsid w:val="00A227DF"/>
    <w:rsid w:val="00A242AF"/>
    <w:rsid w:val="00A274CB"/>
    <w:rsid w:val="00A364B2"/>
    <w:rsid w:val="00A40EF7"/>
    <w:rsid w:val="00A41D2B"/>
    <w:rsid w:val="00A45502"/>
    <w:rsid w:val="00A45B43"/>
    <w:rsid w:val="00A4724D"/>
    <w:rsid w:val="00A4731F"/>
    <w:rsid w:val="00A51068"/>
    <w:rsid w:val="00A52B4E"/>
    <w:rsid w:val="00A563A1"/>
    <w:rsid w:val="00A5755B"/>
    <w:rsid w:val="00A63711"/>
    <w:rsid w:val="00A65A89"/>
    <w:rsid w:val="00A66886"/>
    <w:rsid w:val="00A7016A"/>
    <w:rsid w:val="00A731F1"/>
    <w:rsid w:val="00A7468F"/>
    <w:rsid w:val="00A77210"/>
    <w:rsid w:val="00A779F6"/>
    <w:rsid w:val="00A83B57"/>
    <w:rsid w:val="00A847AD"/>
    <w:rsid w:val="00A925DD"/>
    <w:rsid w:val="00A927E5"/>
    <w:rsid w:val="00A93F4D"/>
    <w:rsid w:val="00A96393"/>
    <w:rsid w:val="00A9780E"/>
    <w:rsid w:val="00AA34A1"/>
    <w:rsid w:val="00AC0531"/>
    <w:rsid w:val="00AC1753"/>
    <w:rsid w:val="00AC19EB"/>
    <w:rsid w:val="00AD24D2"/>
    <w:rsid w:val="00AD4AC8"/>
    <w:rsid w:val="00AD5414"/>
    <w:rsid w:val="00AD5747"/>
    <w:rsid w:val="00AE1859"/>
    <w:rsid w:val="00AE2B12"/>
    <w:rsid w:val="00AE3359"/>
    <w:rsid w:val="00AE38AE"/>
    <w:rsid w:val="00AF4420"/>
    <w:rsid w:val="00AF4CA0"/>
    <w:rsid w:val="00AF5941"/>
    <w:rsid w:val="00AF7826"/>
    <w:rsid w:val="00B02514"/>
    <w:rsid w:val="00B04424"/>
    <w:rsid w:val="00B049CD"/>
    <w:rsid w:val="00B0693C"/>
    <w:rsid w:val="00B13192"/>
    <w:rsid w:val="00B14D52"/>
    <w:rsid w:val="00B16911"/>
    <w:rsid w:val="00B172BC"/>
    <w:rsid w:val="00B25BA5"/>
    <w:rsid w:val="00B263B5"/>
    <w:rsid w:val="00B26E95"/>
    <w:rsid w:val="00B27959"/>
    <w:rsid w:val="00B3225E"/>
    <w:rsid w:val="00B3731F"/>
    <w:rsid w:val="00B453C5"/>
    <w:rsid w:val="00B45A3F"/>
    <w:rsid w:val="00B478CE"/>
    <w:rsid w:val="00B52832"/>
    <w:rsid w:val="00B53379"/>
    <w:rsid w:val="00B56E16"/>
    <w:rsid w:val="00B6526E"/>
    <w:rsid w:val="00B65BE9"/>
    <w:rsid w:val="00B66AEC"/>
    <w:rsid w:val="00B66AF7"/>
    <w:rsid w:val="00B67626"/>
    <w:rsid w:val="00B702B7"/>
    <w:rsid w:val="00B71303"/>
    <w:rsid w:val="00B72F74"/>
    <w:rsid w:val="00B75BE9"/>
    <w:rsid w:val="00B76E0C"/>
    <w:rsid w:val="00B808D8"/>
    <w:rsid w:val="00B8340D"/>
    <w:rsid w:val="00B85686"/>
    <w:rsid w:val="00B860EA"/>
    <w:rsid w:val="00B914B0"/>
    <w:rsid w:val="00B92C8E"/>
    <w:rsid w:val="00B92D4A"/>
    <w:rsid w:val="00BA1C6E"/>
    <w:rsid w:val="00BA4580"/>
    <w:rsid w:val="00BB22BE"/>
    <w:rsid w:val="00BB2B85"/>
    <w:rsid w:val="00BC0278"/>
    <w:rsid w:val="00BC060B"/>
    <w:rsid w:val="00BC28FD"/>
    <w:rsid w:val="00BC3D07"/>
    <w:rsid w:val="00BD1CF1"/>
    <w:rsid w:val="00BD3FA8"/>
    <w:rsid w:val="00BD43BD"/>
    <w:rsid w:val="00BD5142"/>
    <w:rsid w:val="00BD7FFA"/>
    <w:rsid w:val="00BE03D8"/>
    <w:rsid w:val="00BE0577"/>
    <w:rsid w:val="00BE29BC"/>
    <w:rsid w:val="00BE2AAB"/>
    <w:rsid w:val="00BE35F1"/>
    <w:rsid w:val="00BF4C03"/>
    <w:rsid w:val="00BF61B0"/>
    <w:rsid w:val="00C00939"/>
    <w:rsid w:val="00C07953"/>
    <w:rsid w:val="00C15E85"/>
    <w:rsid w:val="00C16DAA"/>
    <w:rsid w:val="00C17B01"/>
    <w:rsid w:val="00C20E70"/>
    <w:rsid w:val="00C22C44"/>
    <w:rsid w:val="00C23D1B"/>
    <w:rsid w:val="00C254C7"/>
    <w:rsid w:val="00C25A86"/>
    <w:rsid w:val="00C2637C"/>
    <w:rsid w:val="00C42BEF"/>
    <w:rsid w:val="00C4498D"/>
    <w:rsid w:val="00C5199B"/>
    <w:rsid w:val="00C6103D"/>
    <w:rsid w:val="00C61B31"/>
    <w:rsid w:val="00C71C16"/>
    <w:rsid w:val="00C73247"/>
    <w:rsid w:val="00C802E2"/>
    <w:rsid w:val="00C83D85"/>
    <w:rsid w:val="00C83FB6"/>
    <w:rsid w:val="00C861CC"/>
    <w:rsid w:val="00C867D4"/>
    <w:rsid w:val="00C93B8D"/>
    <w:rsid w:val="00C97E7E"/>
    <w:rsid w:val="00CB03B8"/>
    <w:rsid w:val="00CB3DB9"/>
    <w:rsid w:val="00CB69B6"/>
    <w:rsid w:val="00CC2708"/>
    <w:rsid w:val="00CC2A6B"/>
    <w:rsid w:val="00CC424C"/>
    <w:rsid w:val="00CC7ADE"/>
    <w:rsid w:val="00CD0A7A"/>
    <w:rsid w:val="00CD0D2C"/>
    <w:rsid w:val="00CD4F26"/>
    <w:rsid w:val="00CE0674"/>
    <w:rsid w:val="00CE12E9"/>
    <w:rsid w:val="00CE1531"/>
    <w:rsid w:val="00CE3255"/>
    <w:rsid w:val="00CF2B25"/>
    <w:rsid w:val="00D054D7"/>
    <w:rsid w:val="00D11B1F"/>
    <w:rsid w:val="00D13F47"/>
    <w:rsid w:val="00D1663D"/>
    <w:rsid w:val="00D16FDC"/>
    <w:rsid w:val="00D17520"/>
    <w:rsid w:val="00D2662D"/>
    <w:rsid w:val="00D31B7C"/>
    <w:rsid w:val="00D345FA"/>
    <w:rsid w:val="00D34C54"/>
    <w:rsid w:val="00D35CB2"/>
    <w:rsid w:val="00D37EB8"/>
    <w:rsid w:val="00D44A12"/>
    <w:rsid w:val="00D45CE0"/>
    <w:rsid w:val="00D46422"/>
    <w:rsid w:val="00D5229F"/>
    <w:rsid w:val="00D54214"/>
    <w:rsid w:val="00D55B8F"/>
    <w:rsid w:val="00D5613B"/>
    <w:rsid w:val="00D66D88"/>
    <w:rsid w:val="00D66F1A"/>
    <w:rsid w:val="00D71A00"/>
    <w:rsid w:val="00D71DB7"/>
    <w:rsid w:val="00D733F0"/>
    <w:rsid w:val="00D74441"/>
    <w:rsid w:val="00D82EC2"/>
    <w:rsid w:val="00D84461"/>
    <w:rsid w:val="00D91B64"/>
    <w:rsid w:val="00D92AE0"/>
    <w:rsid w:val="00D930EA"/>
    <w:rsid w:val="00D93DFE"/>
    <w:rsid w:val="00DA0915"/>
    <w:rsid w:val="00DA1E86"/>
    <w:rsid w:val="00DA5DA9"/>
    <w:rsid w:val="00DA601D"/>
    <w:rsid w:val="00DA7D39"/>
    <w:rsid w:val="00DB362F"/>
    <w:rsid w:val="00DC4FFC"/>
    <w:rsid w:val="00DC6C69"/>
    <w:rsid w:val="00DC79F7"/>
    <w:rsid w:val="00DD3B25"/>
    <w:rsid w:val="00DD4DF7"/>
    <w:rsid w:val="00DD4F7F"/>
    <w:rsid w:val="00DD7354"/>
    <w:rsid w:val="00DE2022"/>
    <w:rsid w:val="00DE5E40"/>
    <w:rsid w:val="00DE67FB"/>
    <w:rsid w:val="00DF67BC"/>
    <w:rsid w:val="00DF7B6F"/>
    <w:rsid w:val="00E0027D"/>
    <w:rsid w:val="00E00F05"/>
    <w:rsid w:val="00E01956"/>
    <w:rsid w:val="00E0289F"/>
    <w:rsid w:val="00E03528"/>
    <w:rsid w:val="00E12C9E"/>
    <w:rsid w:val="00E14125"/>
    <w:rsid w:val="00E228AA"/>
    <w:rsid w:val="00E22C6E"/>
    <w:rsid w:val="00E245A2"/>
    <w:rsid w:val="00E27D5A"/>
    <w:rsid w:val="00E3238E"/>
    <w:rsid w:val="00E3679A"/>
    <w:rsid w:val="00E374B7"/>
    <w:rsid w:val="00E377D1"/>
    <w:rsid w:val="00E4001F"/>
    <w:rsid w:val="00E454B8"/>
    <w:rsid w:val="00E478C9"/>
    <w:rsid w:val="00E51ED7"/>
    <w:rsid w:val="00E521AC"/>
    <w:rsid w:val="00E529C4"/>
    <w:rsid w:val="00E61CFF"/>
    <w:rsid w:val="00E649B6"/>
    <w:rsid w:val="00E64A0A"/>
    <w:rsid w:val="00E6635E"/>
    <w:rsid w:val="00E771B2"/>
    <w:rsid w:val="00E77F78"/>
    <w:rsid w:val="00E810A6"/>
    <w:rsid w:val="00E82396"/>
    <w:rsid w:val="00E82BA5"/>
    <w:rsid w:val="00E8338E"/>
    <w:rsid w:val="00E9204F"/>
    <w:rsid w:val="00E93B3F"/>
    <w:rsid w:val="00E94BD1"/>
    <w:rsid w:val="00E94F87"/>
    <w:rsid w:val="00E96897"/>
    <w:rsid w:val="00EA240D"/>
    <w:rsid w:val="00EB0C07"/>
    <w:rsid w:val="00EB20EE"/>
    <w:rsid w:val="00EB4EDB"/>
    <w:rsid w:val="00EB65AD"/>
    <w:rsid w:val="00EC2104"/>
    <w:rsid w:val="00EC2950"/>
    <w:rsid w:val="00ED11C5"/>
    <w:rsid w:val="00ED4A39"/>
    <w:rsid w:val="00ED7289"/>
    <w:rsid w:val="00ED7C2C"/>
    <w:rsid w:val="00EF432A"/>
    <w:rsid w:val="00EF4DCD"/>
    <w:rsid w:val="00EF646B"/>
    <w:rsid w:val="00EF6DB7"/>
    <w:rsid w:val="00F0060D"/>
    <w:rsid w:val="00F0165C"/>
    <w:rsid w:val="00F04826"/>
    <w:rsid w:val="00F04E5C"/>
    <w:rsid w:val="00F1016C"/>
    <w:rsid w:val="00F11BA2"/>
    <w:rsid w:val="00F23F8C"/>
    <w:rsid w:val="00F32818"/>
    <w:rsid w:val="00F33693"/>
    <w:rsid w:val="00F34FD7"/>
    <w:rsid w:val="00F36AB0"/>
    <w:rsid w:val="00F371F0"/>
    <w:rsid w:val="00F5197B"/>
    <w:rsid w:val="00F55D87"/>
    <w:rsid w:val="00F625AE"/>
    <w:rsid w:val="00F659D4"/>
    <w:rsid w:val="00F67B2F"/>
    <w:rsid w:val="00F8185A"/>
    <w:rsid w:val="00F825A5"/>
    <w:rsid w:val="00F83D13"/>
    <w:rsid w:val="00F83E31"/>
    <w:rsid w:val="00F86695"/>
    <w:rsid w:val="00F9441A"/>
    <w:rsid w:val="00F95129"/>
    <w:rsid w:val="00FA4FE2"/>
    <w:rsid w:val="00FA781A"/>
    <w:rsid w:val="00FA78EF"/>
    <w:rsid w:val="00FB0F8E"/>
    <w:rsid w:val="00FB3FE3"/>
    <w:rsid w:val="00FC03BA"/>
    <w:rsid w:val="00FC0954"/>
    <w:rsid w:val="00FC0D29"/>
    <w:rsid w:val="00FC4C03"/>
    <w:rsid w:val="00FC58B6"/>
    <w:rsid w:val="00FC6185"/>
    <w:rsid w:val="00FC7B27"/>
    <w:rsid w:val="00FD5B93"/>
    <w:rsid w:val="00FD7CEA"/>
    <w:rsid w:val="00FF16EA"/>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953B"/>
  <w15:docId w15:val="{11AD0504-5559-4CC9-8F3F-7A57F88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uiPriority w:val="99"/>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A0263"/>
    <w:pPr>
      <w:spacing w:after="120"/>
    </w:pPr>
  </w:style>
  <w:style w:type="character" w:customStyle="1" w:styleId="BodyTextChar">
    <w:name w:val="Body Text Char"/>
    <w:basedOn w:val="DefaultParagraphFont"/>
    <w:link w:val="BodyText"/>
    <w:uiPriority w:val="99"/>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 w:type="character" w:styleId="PageNumber">
    <w:name w:val="page number"/>
    <w:basedOn w:val="DefaultParagraphFont"/>
    <w:rsid w:val="007D23C3"/>
  </w:style>
  <w:style w:type="paragraph" w:customStyle="1" w:styleId="axNormal">
    <w:name w:val="axNormal"/>
    <w:basedOn w:val="Normal"/>
    <w:rsid w:val="00150F0C"/>
    <w:pPr>
      <w:widowControl w:val="0"/>
      <w:tabs>
        <w:tab w:val="left" w:pos="720"/>
        <w:tab w:val="left" w:pos="1440"/>
        <w:tab w:val="left" w:pos="2160"/>
      </w:tabs>
      <w:autoSpaceDE w:val="0"/>
      <w:autoSpaceDN w:val="0"/>
      <w:adjustRightInd w:val="0"/>
      <w:ind w:left="0"/>
    </w:pPr>
    <w:rPr>
      <w:rFonts w:ascii="Times" w:eastAsia="Times New Roman" w:hAnsi="Times" w:cs="Times"/>
      <w:noProof/>
      <w:color w:val="000000"/>
    </w:rPr>
  </w:style>
  <w:style w:type="paragraph" w:customStyle="1" w:styleId="CaptionTable">
    <w:name w:val="Caption Table"/>
    <w:basedOn w:val="Normal"/>
    <w:qFormat/>
    <w:rsid w:val="00096B52"/>
    <w:pPr>
      <w:keepNext/>
      <w:spacing w:before="240"/>
      <w:ind w:left="0"/>
    </w:pPr>
    <w:rPr>
      <w:rFonts w:ascii="Arial" w:eastAsia="Times New Roman" w:hAnsi="Arial"/>
      <w:b/>
      <w:bCs/>
      <w:kern w:val="22"/>
      <w:sz w:val="20"/>
      <w:szCs w:val="20"/>
    </w:rPr>
  </w:style>
  <w:style w:type="paragraph" w:styleId="Revision">
    <w:name w:val="Revision"/>
    <w:hidden/>
    <w:uiPriority w:val="99"/>
    <w:semiHidden/>
    <w:rsid w:val="00B27959"/>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6219-F5A8-4229-AB22-75B46B13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5</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kbirkmaier</dc:creator>
  <cp:lastModifiedBy>Mork, Shawn - FS, OR</cp:lastModifiedBy>
  <cp:revision>82</cp:revision>
  <cp:lastPrinted>2021-12-30T22:50:00Z</cp:lastPrinted>
  <dcterms:created xsi:type="dcterms:W3CDTF">2021-01-11T15:43:00Z</dcterms:created>
  <dcterms:modified xsi:type="dcterms:W3CDTF">2023-05-10T21:28:00Z</dcterms:modified>
</cp:coreProperties>
</file>