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3A4C" w14:textId="4188E9E2" w:rsidR="00A847AD" w:rsidRPr="005F1D84" w:rsidRDefault="00465233" w:rsidP="004E4F05">
      <w:pPr>
        <w:ind w:left="0"/>
        <w:contextualSpacing/>
        <w:jc w:val="center"/>
        <w:rPr>
          <w:rFonts w:eastAsia="Times New Roman"/>
          <w:b/>
        </w:rPr>
      </w:pPr>
      <w:r>
        <w:rPr>
          <w:rFonts w:eastAsia="Times New Roman"/>
          <w:b/>
        </w:rPr>
        <w:t xml:space="preserve">Divide Allotment </w:t>
      </w:r>
      <w:r w:rsidR="00202F2F">
        <w:rPr>
          <w:rFonts w:eastAsia="Times New Roman"/>
          <w:b/>
        </w:rPr>
        <w:t>202</w:t>
      </w:r>
      <w:r w:rsidR="0024568C">
        <w:rPr>
          <w:rFonts w:eastAsia="Times New Roman"/>
          <w:b/>
        </w:rPr>
        <w:t>2</w:t>
      </w:r>
      <w:r w:rsidR="00DC6C69" w:rsidRPr="000C037E">
        <w:rPr>
          <w:rFonts w:eastAsia="Times New Roman"/>
          <w:b/>
        </w:rPr>
        <w:t xml:space="preserve"> End of Year Report</w:t>
      </w:r>
    </w:p>
    <w:p w14:paraId="5E7E6E51" w14:textId="77777777" w:rsidR="00A847AD" w:rsidRPr="000C037E" w:rsidRDefault="00A847AD" w:rsidP="004E4F05">
      <w:pPr>
        <w:ind w:left="0"/>
        <w:contextualSpacing/>
        <w:jc w:val="center"/>
      </w:pPr>
    </w:p>
    <w:p w14:paraId="335B0B3E" w14:textId="77777777" w:rsidR="007773F3" w:rsidRPr="005F1D84" w:rsidRDefault="007773F3" w:rsidP="004E4F05">
      <w:pPr>
        <w:ind w:left="0"/>
        <w:contextualSpacing/>
        <w:jc w:val="center"/>
        <w:rPr>
          <w:rFonts w:eastAsia="Times New Roman"/>
          <w:b/>
        </w:rPr>
      </w:pPr>
      <w:r w:rsidRPr="005F1D84">
        <w:rPr>
          <w:rFonts w:eastAsia="Times New Roman"/>
          <w:b/>
        </w:rPr>
        <w:t xml:space="preserve">NMFS </w:t>
      </w:r>
      <w:r w:rsidR="00DC6C69" w:rsidRPr="005F1D84">
        <w:rPr>
          <w:rFonts w:eastAsia="Times New Roman"/>
          <w:b/>
        </w:rPr>
        <w:t xml:space="preserve">BO </w:t>
      </w:r>
      <w:r w:rsidRPr="005F1D84">
        <w:rPr>
          <w:rFonts w:eastAsia="Times New Roman"/>
          <w:b/>
        </w:rPr>
        <w:t>No: NWR-2012-3954</w:t>
      </w:r>
    </w:p>
    <w:p w14:paraId="79971E46" w14:textId="77777777" w:rsidR="007773F3" w:rsidRPr="000C037E" w:rsidRDefault="007773F3" w:rsidP="004E4F05">
      <w:pPr>
        <w:ind w:left="0"/>
        <w:contextualSpacing/>
        <w:jc w:val="center"/>
        <w:rPr>
          <w:rFonts w:eastAsia="Times New Roman"/>
          <w:b/>
        </w:rPr>
      </w:pPr>
    </w:p>
    <w:p w14:paraId="35715CD1" w14:textId="77777777" w:rsidR="007773F3" w:rsidRPr="000C037E" w:rsidRDefault="007773F3" w:rsidP="004E4F05">
      <w:pPr>
        <w:ind w:left="0"/>
        <w:contextualSpacing/>
        <w:jc w:val="center"/>
        <w:rPr>
          <w:rFonts w:eastAsia="Times New Roman"/>
        </w:rPr>
      </w:pPr>
      <w:r w:rsidRPr="000C037E">
        <w:rPr>
          <w:rFonts w:eastAsia="Times New Roman"/>
        </w:rPr>
        <w:t>Wallowa-Whitman National Forest</w:t>
      </w:r>
    </w:p>
    <w:p w14:paraId="59027B4A" w14:textId="77777777" w:rsidR="007773F3" w:rsidRPr="000C037E" w:rsidRDefault="007773F3" w:rsidP="004E4F05">
      <w:pPr>
        <w:ind w:left="0"/>
        <w:contextualSpacing/>
        <w:jc w:val="center"/>
        <w:rPr>
          <w:rFonts w:eastAsia="Times New Roman"/>
        </w:rPr>
      </w:pPr>
      <w:r w:rsidRPr="000C037E">
        <w:rPr>
          <w:rFonts w:eastAsia="Times New Roman"/>
        </w:rPr>
        <w:t>Wallowa Valley Ranger District</w:t>
      </w:r>
    </w:p>
    <w:p w14:paraId="4F40BD05" w14:textId="77777777" w:rsidR="007773F3" w:rsidRPr="000C037E" w:rsidRDefault="007773F3" w:rsidP="005F1D84">
      <w:pPr>
        <w:contextualSpacing/>
        <w:jc w:val="center"/>
        <w:rPr>
          <w:rFonts w:eastAsia="Times New Roman"/>
          <w:b/>
        </w:rPr>
      </w:pPr>
    </w:p>
    <w:p w14:paraId="01A03B51" w14:textId="743484E4" w:rsidR="007773F3" w:rsidRPr="000C037E" w:rsidRDefault="0024568C" w:rsidP="004E4F05">
      <w:pPr>
        <w:ind w:left="0"/>
        <w:contextualSpacing/>
        <w:jc w:val="center"/>
        <w:rPr>
          <w:rFonts w:eastAsia="Times New Roman"/>
        </w:rPr>
      </w:pPr>
      <w:r>
        <w:rPr>
          <w:rFonts w:eastAsia="Times New Roman"/>
        </w:rPr>
        <w:t>10 May 2023</w:t>
      </w:r>
    </w:p>
    <w:p w14:paraId="3DD19C41" w14:textId="77777777" w:rsidR="003E3C8B" w:rsidRDefault="003E3C8B" w:rsidP="005F1D84">
      <w:pPr>
        <w:ind w:left="0"/>
        <w:contextualSpacing/>
        <w:rPr>
          <w:rStyle w:val="Heading1Char"/>
          <w:rFonts w:ascii="Times New Roman" w:eastAsiaTheme="majorEastAsia" w:hAnsi="Times New Roman"/>
          <w:color w:val="auto"/>
          <w:szCs w:val="24"/>
        </w:rPr>
      </w:pPr>
      <w:bookmarkStart w:id="0" w:name="_Toc475960255"/>
      <w:bookmarkStart w:id="1" w:name="_Toc476114449"/>
    </w:p>
    <w:p w14:paraId="5F1C0BB4" w14:textId="7A03AA69" w:rsidR="00A847AD" w:rsidRPr="000C037E" w:rsidRDefault="007773F3" w:rsidP="005F1D84">
      <w:pPr>
        <w:ind w:left="0"/>
        <w:contextualSpacing/>
      </w:pPr>
      <w:r w:rsidRPr="000C037E">
        <w:rPr>
          <w:rStyle w:val="Heading1Char"/>
          <w:rFonts w:ascii="Times New Roman" w:eastAsiaTheme="majorEastAsia" w:hAnsi="Times New Roman"/>
          <w:color w:val="auto"/>
          <w:szCs w:val="24"/>
        </w:rPr>
        <w:t>Introduction:</w:t>
      </w:r>
      <w:bookmarkEnd w:id="0"/>
      <w:bookmarkEnd w:id="1"/>
      <w:r w:rsidRPr="000C037E">
        <w:rPr>
          <w:rStyle w:val="Heading1Char"/>
          <w:rFonts w:ascii="Times New Roman" w:eastAsiaTheme="minorHAnsi" w:hAnsi="Times New Roman"/>
          <w:color w:val="auto"/>
          <w:szCs w:val="24"/>
        </w:rPr>
        <w:t xml:space="preserve">  </w:t>
      </w:r>
      <w:r w:rsidR="00DA1E86" w:rsidRPr="000C037E">
        <w:t>The purpose of this</w:t>
      </w:r>
      <w:r w:rsidR="00A847AD" w:rsidRPr="000C037E">
        <w:t xml:space="preserve"> report is to satisfy </w:t>
      </w:r>
      <w:r w:rsidR="00644047" w:rsidRPr="000C037E">
        <w:t>Term</w:t>
      </w:r>
      <w:r w:rsidR="00937E2D">
        <w:t>s</w:t>
      </w:r>
      <w:r w:rsidR="00644047" w:rsidRPr="000C037E">
        <w:t xml:space="preserve"> </w:t>
      </w:r>
      <w:r w:rsidR="00A847AD" w:rsidRPr="000C037E">
        <w:t>and Condition</w:t>
      </w:r>
      <w:r w:rsidR="00937E2D">
        <w:t>s</w:t>
      </w:r>
      <w:r w:rsidR="00A847AD" w:rsidRPr="000C037E">
        <w:t xml:space="preserve"> set forth in the Biological Opinion</w:t>
      </w:r>
      <w:r w:rsidR="001E5B50" w:rsidRPr="000C037E">
        <w:t xml:space="preserve"> from NMFS</w:t>
      </w:r>
      <w:r w:rsidR="00326DDB" w:rsidRPr="000C037E">
        <w:t>,</w:t>
      </w:r>
      <w:r w:rsidR="001E5B50" w:rsidRPr="000C037E">
        <w:t xml:space="preserve"> </w:t>
      </w:r>
      <w:r w:rsidR="00326DDB" w:rsidRPr="000C037E">
        <w:t xml:space="preserve">NWR-2012-3954, </w:t>
      </w:r>
      <w:r w:rsidR="001E5B50" w:rsidRPr="000C037E">
        <w:t>and USFWS</w:t>
      </w:r>
      <w:r w:rsidR="00326DDB" w:rsidRPr="000C037E">
        <w:t>, 01EOFW00-2012-F-0105</w:t>
      </w:r>
      <w:r w:rsidR="00A847AD" w:rsidRPr="000C037E">
        <w:t>.</w:t>
      </w:r>
      <w:r w:rsidR="00A1195E" w:rsidRPr="000C037E">
        <w:t xml:space="preserve">  This report will cover the grazing activities </w:t>
      </w:r>
      <w:r w:rsidR="0052244D" w:rsidRPr="000C037E">
        <w:t xml:space="preserve">and results from a variety of monitoring </w:t>
      </w:r>
      <w:r w:rsidR="003F6CF0">
        <w:t xml:space="preserve">and adaptive management </w:t>
      </w:r>
      <w:r w:rsidR="0052244D" w:rsidRPr="000C037E">
        <w:t>conducted</w:t>
      </w:r>
      <w:r w:rsidR="00020E30" w:rsidRPr="000C037E">
        <w:t xml:space="preserve"> </w:t>
      </w:r>
      <w:r w:rsidR="00A1195E" w:rsidRPr="000C037E">
        <w:t xml:space="preserve">during the </w:t>
      </w:r>
      <w:r w:rsidR="00707C81" w:rsidRPr="000C037E">
        <w:t>20</w:t>
      </w:r>
      <w:r w:rsidR="00202F2F">
        <w:t>2</w:t>
      </w:r>
      <w:r w:rsidR="003B7DCC">
        <w:t>1</w:t>
      </w:r>
      <w:r w:rsidR="00A1195E" w:rsidRPr="000C037E">
        <w:t xml:space="preserve"> grazing season</w:t>
      </w:r>
      <w:r w:rsidR="00DA1E86" w:rsidRPr="000C037E">
        <w:t xml:space="preserve">.  </w:t>
      </w:r>
    </w:p>
    <w:p w14:paraId="51F9D66D" w14:textId="77777777" w:rsidR="00A847AD" w:rsidRDefault="00A847AD" w:rsidP="00326DDB">
      <w:pPr>
        <w:ind w:left="0"/>
      </w:pPr>
    </w:p>
    <w:p w14:paraId="1652C54D" w14:textId="028B1359" w:rsidR="003F6CF0" w:rsidRPr="005F1D84" w:rsidRDefault="00074D8A" w:rsidP="003F6CF0">
      <w:pPr>
        <w:pStyle w:val="ListParagraph"/>
        <w:ind w:left="0"/>
        <w:rPr>
          <w:b/>
        </w:rPr>
      </w:pPr>
      <w:r w:rsidRPr="005F1D84">
        <w:rPr>
          <w:b/>
        </w:rPr>
        <w:t>Terms and Conditions</w:t>
      </w:r>
    </w:p>
    <w:p w14:paraId="6A12AE09" w14:textId="77777777" w:rsidR="003F6CF0" w:rsidRDefault="003F6CF0" w:rsidP="005604FD">
      <w:pPr>
        <w:pStyle w:val="ListParagraph"/>
        <w:numPr>
          <w:ilvl w:val="0"/>
          <w:numId w:val="1"/>
        </w:numPr>
        <w:ind w:left="360"/>
      </w:pPr>
      <w:r>
        <w:t>To implement reasonable and prudent measure # 1 (take on SRB steelhead due to extended cattle access), the WWNF shall:</w:t>
      </w:r>
    </w:p>
    <w:p w14:paraId="2C71E0B3" w14:textId="5EDB8968" w:rsidR="005F1D84" w:rsidRDefault="003F6CF0" w:rsidP="005604FD">
      <w:pPr>
        <w:pStyle w:val="ListParagraph"/>
        <w:numPr>
          <w:ilvl w:val="0"/>
          <w:numId w:val="2"/>
        </w:numPr>
      </w:pPr>
      <w:r>
        <w:t xml:space="preserve">Construct the fencing, as proposed, for the Little Sheep </w:t>
      </w:r>
      <w:r w:rsidR="00641137">
        <w:t>Riparian Pasture</w:t>
      </w:r>
      <w:r>
        <w:t xml:space="preserve"> before cattle turn out in calendar year 2014. </w:t>
      </w:r>
      <w:r w:rsidR="00641137">
        <w:t xml:space="preserve">The portions of the proposed fencing along the Divide-Marr Flat boundary and around Salt Creek are not part of the fencing that is being constructed to create the Little Sheep Riparian Pasture.  </w:t>
      </w:r>
    </w:p>
    <w:p w14:paraId="373215E4" w14:textId="774E4996" w:rsidR="008E26F6" w:rsidRDefault="007F6EF9" w:rsidP="005604FD">
      <w:pPr>
        <w:pStyle w:val="ListParagraph"/>
        <w:numPr>
          <w:ilvl w:val="0"/>
          <w:numId w:val="3"/>
        </w:numPr>
      </w:pPr>
      <w:r>
        <w:t xml:space="preserve">The </w:t>
      </w:r>
      <w:r w:rsidR="00641137">
        <w:t xml:space="preserve">Little Sheep riparian </w:t>
      </w:r>
      <w:r>
        <w:t>fence was built in 2013</w:t>
      </w:r>
      <w:r w:rsidR="00641137">
        <w:t xml:space="preserve"> and is</w:t>
      </w:r>
      <w:r>
        <w:t xml:space="preserve"> 3.5 miles long.  </w:t>
      </w:r>
      <w:r w:rsidR="00641137">
        <w:t>The fence wa</w:t>
      </w:r>
      <w:r>
        <w:t>s m</w:t>
      </w:r>
      <w:r w:rsidR="00EC4050">
        <w:t>onitored annually from 2013-20</w:t>
      </w:r>
      <w:r w:rsidR="00570C6A">
        <w:t>2</w:t>
      </w:r>
      <w:r w:rsidR="0024568C">
        <w:t>2</w:t>
      </w:r>
      <w:r>
        <w:t>.</w:t>
      </w:r>
      <w:r w:rsidR="00641137">
        <w:t xml:space="preserve">  </w:t>
      </w:r>
      <w:r w:rsidR="00B808D8">
        <w:t xml:space="preserve">Construction of the fence created the Little Sheep Creek riparian </w:t>
      </w:r>
      <w:r w:rsidR="004C4E5C">
        <w:t>pasture.  No grazing is planned within the Little Sheep Riparian Pasture.</w:t>
      </w:r>
    </w:p>
    <w:p w14:paraId="0E2CA1C3" w14:textId="1852AFE1" w:rsidR="008E26F6" w:rsidRDefault="003F6CF0" w:rsidP="005604FD">
      <w:pPr>
        <w:pStyle w:val="ListParagraph"/>
        <w:numPr>
          <w:ilvl w:val="0"/>
          <w:numId w:val="2"/>
        </w:numPr>
      </w:pPr>
      <w:r>
        <w:t>Maintain and ensure proper operation of all exclosure structures, such as fences, designed to protect SRB steelhead spawning and rearing.</w:t>
      </w:r>
      <w:r w:rsidR="00B45A3F">
        <w:t xml:space="preserve">  </w:t>
      </w:r>
    </w:p>
    <w:p w14:paraId="72F9AB88" w14:textId="7D060690" w:rsidR="003F6CF0" w:rsidRDefault="005F1D84" w:rsidP="005604FD">
      <w:pPr>
        <w:pStyle w:val="ListParagraph"/>
        <w:numPr>
          <w:ilvl w:val="0"/>
          <w:numId w:val="3"/>
        </w:numPr>
      </w:pPr>
      <w:r>
        <w:t xml:space="preserve">The </w:t>
      </w:r>
      <w:r w:rsidR="00B45A3F">
        <w:t>Divide allotment contains the Carrol Cr</w:t>
      </w:r>
      <w:r w:rsidR="00570C6A">
        <w:t>eek</w:t>
      </w:r>
      <w:r w:rsidR="00B45A3F">
        <w:t xml:space="preserve"> exclosure fence</w:t>
      </w:r>
      <w:r w:rsidR="00CC34E0">
        <w:t>s</w:t>
      </w:r>
      <w:r w:rsidR="0024568C">
        <w:t xml:space="preserve">.  These exclosures distribute cattle away from steelhead spawning habitat within Divide Allotment.  </w:t>
      </w:r>
      <w:r w:rsidR="00B45A3F">
        <w:t xml:space="preserve"> </w:t>
      </w:r>
    </w:p>
    <w:p w14:paraId="7A7A444C" w14:textId="77777777" w:rsidR="003F6CF0" w:rsidRDefault="003F6CF0" w:rsidP="003F6CF0">
      <w:pPr>
        <w:pStyle w:val="ListParagraph"/>
        <w:ind w:left="0"/>
      </w:pPr>
    </w:p>
    <w:p w14:paraId="5FA6B317" w14:textId="54EA007B" w:rsidR="005B4BBD" w:rsidRDefault="00823320" w:rsidP="005604FD">
      <w:pPr>
        <w:pStyle w:val="ListParagraph"/>
        <w:numPr>
          <w:ilvl w:val="0"/>
          <w:numId w:val="1"/>
        </w:numPr>
        <w:ind w:left="360"/>
      </w:pPr>
      <w:r>
        <w:t xml:space="preserve"> </w:t>
      </w:r>
      <w:r w:rsidR="005B4BBD">
        <w:t>To implement reasonable and prudent measure #2 (take on SRB steelhead due to streambank alteration), the WWNF shall:</w:t>
      </w:r>
    </w:p>
    <w:p w14:paraId="6729CB78" w14:textId="77777777" w:rsidR="00937E2D" w:rsidRDefault="005B4BBD" w:rsidP="005604FD">
      <w:pPr>
        <w:pStyle w:val="ListParagraph"/>
        <w:numPr>
          <w:ilvl w:val="1"/>
          <w:numId w:val="1"/>
        </w:numPr>
        <w:ind w:left="720"/>
      </w:pPr>
      <w:r>
        <w:t>Consistently implement grazing-related standards and guidelines to achieve RMOs regarding bank stability, water temperature, large woody material, lower bank angle, width/depth ratio and other aquatic habitat parameters that may be affected by livestock grazing.</w:t>
      </w:r>
    </w:p>
    <w:p w14:paraId="0C0B3388" w14:textId="3D15E3A6" w:rsidR="00823320" w:rsidRDefault="00451042" w:rsidP="0024568C">
      <w:pPr>
        <w:pStyle w:val="ListParagraph"/>
        <w:numPr>
          <w:ilvl w:val="1"/>
          <w:numId w:val="1"/>
        </w:numPr>
        <w:ind w:left="720" w:hanging="450"/>
      </w:pPr>
      <w:r>
        <w:t xml:space="preserve">If current utilization standards are insufficient to prevent less than 40% unwanted browse of shrubs or keep bank alteration at or below 20%, change the utilization standard for that pasture to facilitate meeting allotment objectives. </w:t>
      </w:r>
    </w:p>
    <w:p w14:paraId="4DD6E9C8" w14:textId="6B36C283" w:rsidR="00451042" w:rsidRDefault="000B1395" w:rsidP="005604FD">
      <w:pPr>
        <w:pStyle w:val="ListParagraph"/>
        <w:numPr>
          <w:ilvl w:val="2"/>
          <w:numId w:val="1"/>
        </w:numPr>
        <w:ind w:left="720"/>
      </w:pPr>
      <w:r>
        <w:t>In 2018 All of the accessible steelhead habitat on Carrol Creek was fence</w:t>
      </w:r>
      <w:r w:rsidR="0024568C">
        <w:t>d</w:t>
      </w:r>
      <w:r>
        <w:t xml:space="preserve"> out. </w:t>
      </w:r>
    </w:p>
    <w:p w14:paraId="37C4AE4A" w14:textId="77777777" w:rsidR="000B1395" w:rsidRDefault="000B1395" w:rsidP="00451042"/>
    <w:p w14:paraId="432A789F" w14:textId="77777777" w:rsidR="00451042" w:rsidRDefault="00451042" w:rsidP="005604FD">
      <w:pPr>
        <w:pStyle w:val="ListParagraph"/>
        <w:numPr>
          <w:ilvl w:val="0"/>
          <w:numId w:val="1"/>
        </w:numPr>
        <w:ind w:left="450"/>
      </w:pPr>
      <w:r>
        <w:t xml:space="preserve">Ensure that the permittee is aware of WWNF’s resource objectives and the indicators WWNF is concerned with (stubble height, woody utilization, and bank alteration) and that the permittee knows how to monitor for those indicators.  </w:t>
      </w:r>
    </w:p>
    <w:p w14:paraId="6337B35A" w14:textId="2FD2616A" w:rsidR="005B4BBD" w:rsidRDefault="00937E2D" w:rsidP="005604FD">
      <w:pPr>
        <w:pStyle w:val="ListParagraph"/>
        <w:numPr>
          <w:ilvl w:val="0"/>
          <w:numId w:val="5"/>
        </w:numPr>
        <w:ind w:left="810"/>
      </w:pPr>
      <w:r>
        <w:t xml:space="preserve">The AOI was </w:t>
      </w:r>
      <w:r w:rsidR="00074D8A">
        <w:t xml:space="preserve">communicated to the permittee on </w:t>
      </w:r>
      <w:r w:rsidR="0024568C">
        <w:t>10</w:t>
      </w:r>
      <w:r w:rsidR="00A736F0">
        <w:t xml:space="preserve"> June 202</w:t>
      </w:r>
      <w:r w:rsidR="0024568C">
        <w:t>2</w:t>
      </w:r>
      <w:r w:rsidR="00074D8A">
        <w:t>.  The AOI contains the utilization standards</w:t>
      </w:r>
      <w:r w:rsidR="001640BC">
        <w:t xml:space="preserve"> and resource objectives</w:t>
      </w:r>
      <w:r w:rsidR="00074D8A">
        <w:t>.</w:t>
      </w:r>
    </w:p>
    <w:p w14:paraId="681F890C" w14:textId="77777777" w:rsidR="00451042" w:rsidRDefault="00451042" w:rsidP="00451042"/>
    <w:p w14:paraId="63F52CEB" w14:textId="7129FA6F" w:rsidR="005B4BBD" w:rsidRDefault="005B4BBD" w:rsidP="005604FD">
      <w:pPr>
        <w:pStyle w:val="ListParagraph"/>
        <w:numPr>
          <w:ilvl w:val="0"/>
          <w:numId w:val="1"/>
        </w:numPr>
        <w:ind w:left="450"/>
      </w:pPr>
      <w:r>
        <w:lastRenderedPageBreak/>
        <w:t>To implement reasonable and prudent measure #3 (monitoring and reporting), the WWNF shall ensure that the following monitoring information is collected and reported to NMFS:</w:t>
      </w:r>
    </w:p>
    <w:p w14:paraId="574247F1" w14:textId="77777777" w:rsidR="000B1395" w:rsidRDefault="005B4BBD" w:rsidP="005604FD">
      <w:pPr>
        <w:pStyle w:val="ListParagraph"/>
        <w:numPr>
          <w:ilvl w:val="1"/>
          <w:numId w:val="1"/>
        </w:numPr>
        <w:ind w:left="810"/>
      </w:pPr>
      <w:r w:rsidRPr="005B4BBD">
        <w:t>Carry out all proposed monitoring, including MIM monitoring for bank alteration.</w:t>
      </w:r>
      <w:r w:rsidR="00074D8A">
        <w:t xml:space="preserve">  </w:t>
      </w:r>
    </w:p>
    <w:p w14:paraId="7279623E" w14:textId="3D552897" w:rsidR="005B4BBD" w:rsidRDefault="00074D8A" w:rsidP="005604FD">
      <w:pPr>
        <w:pStyle w:val="ListParagraph"/>
        <w:numPr>
          <w:ilvl w:val="0"/>
          <w:numId w:val="5"/>
        </w:numPr>
      </w:pPr>
      <w:r>
        <w:t xml:space="preserve">This area </w:t>
      </w:r>
      <w:r w:rsidR="00055838">
        <w:t>is</w:t>
      </w:r>
      <w:r>
        <w:t xml:space="preserve"> excluded </w:t>
      </w:r>
      <w:r w:rsidR="00055838">
        <w:t>by enclosure fence that was completed in 2018</w:t>
      </w:r>
      <w:r>
        <w:t>.</w:t>
      </w:r>
    </w:p>
    <w:p w14:paraId="6C4B15D0" w14:textId="57623C0D" w:rsidR="005B4BBD" w:rsidRDefault="005B4BBD" w:rsidP="005604FD">
      <w:pPr>
        <w:pStyle w:val="ListParagraph"/>
        <w:numPr>
          <w:ilvl w:val="1"/>
          <w:numId w:val="1"/>
        </w:numPr>
        <w:ind w:left="810"/>
      </w:pPr>
      <w:r>
        <w:t>Provide an end-of-year report to NMFS by February 15 of each year. The following shall be included in the report for the Divide Allotment:</w:t>
      </w:r>
    </w:p>
    <w:p w14:paraId="0023C0CA" w14:textId="67551140" w:rsidR="004A7A38" w:rsidRDefault="004A7A38" w:rsidP="005604FD">
      <w:pPr>
        <w:pStyle w:val="ListParagraph"/>
        <w:numPr>
          <w:ilvl w:val="2"/>
          <w:numId w:val="1"/>
        </w:numPr>
        <w:ind w:left="900"/>
      </w:pPr>
      <w:r>
        <w:t xml:space="preserve">In </w:t>
      </w:r>
      <w:r w:rsidR="003A5405" w:rsidRPr="00823320">
        <w:rPr>
          <w:rFonts w:eastAsia="Calibri"/>
        </w:rPr>
        <w:t>202</w:t>
      </w:r>
      <w:r w:rsidR="002A5A6C" w:rsidRPr="00823320">
        <w:rPr>
          <w:rFonts w:eastAsia="Calibri"/>
        </w:rPr>
        <w:t>1</w:t>
      </w:r>
      <w:r w:rsidR="00E568EF" w:rsidRPr="00823320">
        <w:rPr>
          <w:rFonts w:eastAsia="Calibri"/>
        </w:rPr>
        <w:t xml:space="preserve"> 976 </w:t>
      </w:r>
      <w:r>
        <w:t xml:space="preserve">head months were </w:t>
      </w:r>
      <w:r w:rsidR="003A5405">
        <w:t>permitted</w:t>
      </w:r>
      <w:r>
        <w:t>.</w:t>
      </w:r>
      <w:r w:rsidR="00614607">
        <w:t xml:space="preserve">  Approximately </w:t>
      </w:r>
      <w:r w:rsidR="002A5A6C">
        <w:t>820</w:t>
      </w:r>
      <w:r>
        <w:t xml:space="preserve"> head months </w:t>
      </w:r>
      <w:r w:rsidR="00E568EF">
        <w:t xml:space="preserve">were </w:t>
      </w:r>
      <w:r w:rsidR="008C1CEB">
        <w:t>utilized</w:t>
      </w:r>
      <w:r w:rsidR="002A5A6C">
        <w:t xml:space="preserve"> because the cows went onto the allotment 20 to 40 at a time from June 20 to July 10 and were gathered off the allotment about October </w:t>
      </w:r>
      <w:r w:rsidR="0024568C">
        <w:t>20</w:t>
      </w:r>
      <w:r w:rsidR="002A5A6C">
        <w:t xml:space="preserve">.  </w:t>
      </w:r>
    </w:p>
    <w:p w14:paraId="0F670339" w14:textId="77777777" w:rsidR="004A7A38" w:rsidRDefault="004A7A38" w:rsidP="005604FD">
      <w:pPr>
        <w:pStyle w:val="ListParagraph"/>
        <w:numPr>
          <w:ilvl w:val="2"/>
          <w:numId w:val="1"/>
        </w:numPr>
        <w:ind w:left="900"/>
      </w:pPr>
      <w:r>
        <w:t xml:space="preserve">On/Off Dates </w:t>
      </w:r>
    </w:p>
    <w:p w14:paraId="77F89D66" w14:textId="77777777" w:rsidR="005B4BBD" w:rsidRDefault="005B4BBD" w:rsidP="0035091E">
      <w:pPr>
        <w:pStyle w:val="Heading2"/>
        <w:rPr>
          <w:b w:val="0"/>
          <w:u w:val="none"/>
        </w:rPr>
      </w:pPr>
      <w:bookmarkStart w:id="2" w:name="_Toc476114450"/>
    </w:p>
    <w:p w14:paraId="145ECE46" w14:textId="3090202D" w:rsidR="005B4BBD" w:rsidRPr="000C037E" w:rsidRDefault="005B4BBD" w:rsidP="005B4BBD">
      <w:pPr>
        <w:ind w:left="0"/>
      </w:pPr>
      <w:r w:rsidRPr="000C037E">
        <w:rPr>
          <w:b/>
        </w:rPr>
        <w:t xml:space="preserve">Table 1. </w:t>
      </w:r>
      <w:r w:rsidR="00E568EF">
        <w:t xml:space="preserve">Actual </w:t>
      </w:r>
      <w:r w:rsidR="00202F2F">
        <w:t>202</w:t>
      </w:r>
      <w:r w:rsidR="002A5A6C">
        <w:t>1</w:t>
      </w:r>
      <w:r w:rsidRPr="000C037E">
        <w:t xml:space="preserve"> On/Off 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095"/>
        <w:gridCol w:w="849"/>
        <w:gridCol w:w="866"/>
        <w:gridCol w:w="868"/>
        <w:gridCol w:w="868"/>
        <w:gridCol w:w="1216"/>
      </w:tblGrid>
      <w:tr w:rsidR="005B4BBD" w:rsidRPr="000C037E" w14:paraId="291844A2" w14:textId="77777777" w:rsidTr="00E57698">
        <w:tc>
          <w:tcPr>
            <w:tcW w:w="3588" w:type="dxa"/>
            <w:shd w:val="clear" w:color="auto" w:fill="D9D9D9"/>
          </w:tcPr>
          <w:p w14:paraId="141C1705" w14:textId="77777777" w:rsidR="005B4BBD" w:rsidRPr="000C037E" w:rsidRDefault="005B4BBD" w:rsidP="005D7C2C">
            <w:pPr>
              <w:tabs>
                <w:tab w:val="left" w:pos="720"/>
              </w:tabs>
              <w:overflowPunct w:val="0"/>
              <w:autoSpaceDE w:val="0"/>
              <w:autoSpaceDN w:val="0"/>
              <w:adjustRightInd w:val="0"/>
              <w:ind w:left="0"/>
              <w:textAlignment w:val="baseline"/>
              <w:rPr>
                <w:rFonts w:eastAsia="Times New Roman"/>
                <w:b/>
                <w:bCs/>
                <w:sz w:val="22"/>
                <w:szCs w:val="22"/>
              </w:rPr>
            </w:pPr>
            <w:r>
              <w:rPr>
                <w:rFonts w:eastAsia="Times New Roman"/>
                <w:b/>
                <w:bCs/>
                <w:sz w:val="22"/>
                <w:szCs w:val="22"/>
              </w:rPr>
              <w:t>Pasture</w:t>
            </w:r>
          </w:p>
        </w:tc>
        <w:tc>
          <w:tcPr>
            <w:tcW w:w="1095" w:type="dxa"/>
            <w:shd w:val="clear" w:color="auto" w:fill="D9D9D9"/>
          </w:tcPr>
          <w:p w14:paraId="14ABC827"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
                <w:bCs/>
                <w:sz w:val="22"/>
                <w:szCs w:val="22"/>
              </w:rPr>
            </w:pPr>
            <w:r w:rsidRPr="000C037E">
              <w:rPr>
                <w:rFonts w:eastAsia="Times New Roman"/>
                <w:b/>
                <w:bCs/>
                <w:sz w:val="22"/>
                <w:szCs w:val="22"/>
              </w:rPr>
              <w:t>Head</w:t>
            </w:r>
          </w:p>
        </w:tc>
        <w:tc>
          <w:tcPr>
            <w:tcW w:w="849" w:type="dxa"/>
            <w:shd w:val="clear" w:color="auto" w:fill="D9D9D9"/>
          </w:tcPr>
          <w:p w14:paraId="1D2A2F86"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
                <w:bCs/>
                <w:sz w:val="22"/>
                <w:szCs w:val="22"/>
              </w:rPr>
            </w:pPr>
            <w:r w:rsidRPr="000C037E">
              <w:rPr>
                <w:rFonts w:eastAsia="Times New Roman"/>
                <w:b/>
                <w:bCs/>
                <w:sz w:val="22"/>
                <w:szCs w:val="22"/>
              </w:rPr>
              <w:t>June</w:t>
            </w:r>
          </w:p>
        </w:tc>
        <w:tc>
          <w:tcPr>
            <w:tcW w:w="866" w:type="dxa"/>
            <w:shd w:val="clear" w:color="auto" w:fill="D9D9D9"/>
          </w:tcPr>
          <w:p w14:paraId="766DF9B9"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
                <w:bCs/>
                <w:sz w:val="22"/>
                <w:szCs w:val="22"/>
              </w:rPr>
            </w:pPr>
            <w:r w:rsidRPr="000C037E">
              <w:rPr>
                <w:rFonts w:eastAsia="Times New Roman"/>
                <w:b/>
                <w:bCs/>
                <w:sz w:val="22"/>
                <w:szCs w:val="22"/>
              </w:rPr>
              <w:t>July</w:t>
            </w:r>
          </w:p>
        </w:tc>
        <w:tc>
          <w:tcPr>
            <w:tcW w:w="868" w:type="dxa"/>
            <w:shd w:val="clear" w:color="auto" w:fill="D9D9D9"/>
          </w:tcPr>
          <w:p w14:paraId="74122A6F"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
                <w:bCs/>
                <w:sz w:val="22"/>
                <w:szCs w:val="22"/>
              </w:rPr>
            </w:pPr>
            <w:r w:rsidRPr="000C037E">
              <w:rPr>
                <w:rFonts w:eastAsia="Times New Roman"/>
                <w:b/>
                <w:bCs/>
                <w:sz w:val="22"/>
                <w:szCs w:val="22"/>
              </w:rPr>
              <w:t>Aug</w:t>
            </w:r>
          </w:p>
        </w:tc>
        <w:tc>
          <w:tcPr>
            <w:tcW w:w="868" w:type="dxa"/>
            <w:shd w:val="clear" w:color="auto" w:fill="D9D9D9"/>
          </w:tcPr>
          <w:p w14:paraId="77F2EAD1"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
                <w:bCs/>
                <w:sz w:val="22"/>
                <w:szCs w:val="22"/>
              </w:rPr>
            </w:pPr>
            <w:r w:rsidRPr="000C037E">
              <w:rPr>
                <w:rFonts w:eastAsia="Times New Roman"/>
                <w:b/>
                <w:bCs/>
                <w:sz w:val="22"/>
                <w:szCs w:val="22"/>
              </w:rPr>
              <w:t>Sept</w:t>
            </w:r>
          </w:p>
        </w:tc>
        <w:tc>
          <w:tcPr>
            <w:tcW w:w="1216" w:type="dxa"/>
            <w:shd w:val="clear" w:color="auto" w:fill="D9D9D9"/>
          </w:tcPr>
          <w:p w14:paraId="3D2755ED"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
                <w:bCs/>
                <w:sz w:val="22"/>
                <w:szCs w:val="22"/>
              </w:rPr>
            </w:pPr>
            <w:r w:rsidRPr="000C037E">
              <w:rPr>
                <w:rFonts w:eastAsia="Times New Roman"/>
                <w:b/>
                <w:bCs/>
                <w:sz w:val="22"/>
                <w:szCs w:val="22"/>
              </w:rPr>
              <w:t>Oct</w:t>
            </w:r>
          </w:p>
        </w:tc>
      </w:tr>
      <w:tr w:rsidR="00E568EF" w:rsidRPr="000C037E" w14:paraId="686BF1DE" w14:textId="77777777" w:rsidTr="00E57698">
        <w:tc>
          <w:tcPr>
            <w:tcW w:w="3588" w:type="dxa"/>
          </w:tcPr>
          <w:p w14:paraId="230DC508" w14:textId="77777777" w:rsidR="00E568EF" w:rsidRPr="000C037E" w:rsidRDefault="00E568EF" w:rsidP="00E568EF">
            <w:pPr>
              <w:tabs>
                <w:tab w:val="left" w:pos="720"/>
              </w:tabs>
              <w:overflowPunct w:val="0"/>
              <w:autoSpaceDE w:val="0"/>
              <w:autoSpaceDN w:val="0"/>
              <w:adjustRightInd w:val="0"/>
              <w:ind w:left="0"/>
              <w:textAlignment w:val="baseline"/>
              <w:rPr>
                <w:rFonts w:eastAsia="Times New Roman"/>
                <w:bCs/>
                <w:sz w:val="22"/>
                <w:szCs w:val="22"/>
              </w:rPr>
            </w:pPr>
            <w:r w:rsidRPr="000C037E">
              <w:rPr>
                <w:rFonts w:eastAsia="Times New Roman"/>
                <w:bCs/>
                <w:sz w:val="22"/>
                <w:szCs w:val="22"/>
              </w:rPr>
              <w:t>North Target Springs *</w:t>
            </w:r>
          </w:p>
        </w:tc>
        <w:tc>
          <w:tcPr>
            <w:tcW w:w="1095" w:type="dxa"/>
          </w:tcPr>
          <w:p w14:paraId="624C9700" w14:textId="3F0BB15C" w:rsidR="00E568EF" w:rsidRPr="000C037E" w:rsidRDefault="0012141E" w:rsidP="00E568EF">
            <w:pPr>
              <w:tabs>
                <w:tab w:val="left" w:pos="720"/>
              </w:tabs>
              <w:overflowPunct w:val="0"/>
              <w:autoSpaceDE w:val="0"/>
              <w:autoSpaceDN w:val="0"/>
              <w:adjustRightInd w:val="0"/>
              <w:ind w:left="0"/>
              <w:jc w:val="center"/>
              <w:textAlignment w:val="baseline"/>
              <w:rPr>
                <w:rFonts w:eastAsia="Times New Roman"/>
                <w:bCs/>
                <w:sz w:val="22"/>
                <w:szCs w:val="22"/>
              </w:rPr>
            </w:pPr>
            <w:r>
              <w:rPr>
                <w:rFonts w:eastAsia="Times New Roman"/>
                <w:bCs/>
              </w:rPr>
              <w:t>1</w:t>
            </w:r>
            <w:r w:rsidR="002A5A6C">
              <w:rPr>
                <w:rFonts w:eastAsia="Times New Roman"/>
                <w:bCs/>
              </w:rPr>
              <w:t>40</w:t>
            </w:r>
          </w:p>
        </w:tc>
        <w:tc>
          <w:tcPr>
            <w:tcW w:w="849" w:type="dxa"/>
            <w:vAlign w:val="center"/>
          </w:tcPr>
          <w:p w14:paraId="2F49C5B3" w14:textId="65E7436E" w:rsidR="00E568EF" w:rsidRPr="000C037E" w:rsidRDefault="0024568C" w:rsidP="00E568EF">
            <w:pPr>
              <w:tabs>
                <w:tab w:val="left" w:pos="720"/>
              </w:tabs>
              <w:overflowPunct w:val="0"/>
              <w:autoSpaceDE w:val="0"/>
              <w:autoSpaceDN w:val="0"/>
              <w:adjustRightInd w:val="0"/>
              <w:ind w:left="0"/>
              <w:jc w:val="center"/>
              <w:textAlignment w:val="baseline"/>
              <w:rPr>
                <w:rFonts w:eastAsia="Times New Roman"/>
                <w:bCs/>
                <w:sz w:val="22"/>
                <w:szCs w:val="22"/>
              </w:rPr>
            </w:pPr>
            <w:r>
              <w:rPr>
                <w:rFonts w:eastAsia="Times New Roman"/>
                <w:bCs/>
                <w:sz w:val="22"/>
                <w:szCs w:val="22"/>
              </w:rPr>
              <w:t>3</w:t>
            </w:r>
            <w:r w:rsidR="0012141E">
              <w:rPr>
                <w:rFonts w:eastAsia="Times New Roman"/>
                <w:bCs/>
                <w:sz w:val="22"/>
                <w:szCs w:val="22"/>
              </w:rPr>
              <w:t>0-</w:t>
            </w:r>
          </w:p>
        </w:tc>
        <w:tc>
          <w:tcPr>
            <w:tcW w:w="866" w:type="dxa"/>
            <w:vAlign w:val="center"/>
          </w:tcPr>
          <w:p w14:paraId="3C3230AE" w14:textId="1D4075B9" w:rsidR="00E568EF" w:rsidRPr="000C037E" w:rsidRDefault="0012141E" w:rsidP="00E568EF">
            <w:pPr>
              <w:tabs>
                <w:tab w:val="left" w:pos="720"/>
              </w:tabs>
              <w:overflowPunct w:val="0"/>
              <w:autoSpaceDE w:val="0"/>
              <w:autoSpaceDN w:val="0"/>
              <w:adjustRightInd w:val="0"/>
              <w:ind w:left="0"/>
              <w:jc w:val="center"/>
              <w:textAlignment w:val="baseline"/>
              <w:rPr>
                <w:rFonts w:eastAsia="Times New Roman"/>
                <w:bCs/>
                <w:sz w:val="22"/>
                <w:szCs w:val="22"/>
              </w:rPr>
            </w:pPr>
            <w:r>
              <w:rPr>
                <w:rFonts w:eastAsia="Times New Roman"/>
                <w:bCs/>
                <w:sz w:val="22"/>
                <w:szCs w:val="22"/>
              </w:rPr>
              <w:t>-31</w:t>
            </w:r>
          </w:p>
        </w:tc>
        <w:tc>
          <w:tcPr>
            <w:tcW w:w="868" w:type="dxa"/>
            <w:vAlign w:val="center"/>
          </w:tcPr>
          <w:p w14:paraId="6C825614"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8" w:type="dxa"/>
            <w:vAlign w:val="center"/>
          </w:tcPr>
          <w:p w14:paraId="5F2D396C" w14:textId="0E428B4C"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r w:rsidRPr="002356E4">
              <w:rPr>
                <w:rFonts w:eastAsia="Times New Roman"/>
                <w:bCs/>
              </w:rPr>
              <w:t>11-</w:t>
            </w:r>
          </w:p>
        </w:tc>
        <w:tc>
          <w:tcPr>
            <w:tcW w:w="1216" w:type="dxa"/>
            <w:vAlign w:val="center"/>
          </w:tcPr>
          <w:p w14:paraId="6500BD52" w14:textId="1106F0EB"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r>
              <w:rPr>
                <w:rFonts w:eastAsia="Times New Roman"/>
                <w:bCs/>
              </w:rPr>
              <w:t>-2</w:t>
            </w:r>
            <w:r w:rsidRPr="002356E4">
              <w:rPr>
                <w:rFonts w:eastAsia="Times New Roman"/>
                <w:bCs/>
              </w:rPr>
              <w:t>1</w:t>
            </w:r>
          </w:p>
        </w:tc>
      </w:tr>
      <w:tr w:rsidR="00E568EF" w:rsidRPr="000C037E" w14:paraId="7DD16F32" w14:textId="77777777" w:rsidTr="00E57698">
        <w:tc>
          <w:tcPr>
            <w:tcW w:w="3588" w:type="dxa"/>
          </w:tcPr>
          <w:p w14:paraId="102AADE3" w14:textId="77777777" w:rsidR="00E568EF" w:rsidRPr="000C037E" w:rsidRDefault="00E568EF" w:rsidP="00E568EF">
            <w:pPr>
              <w:tabs>
                <w:tab w:val="left" w:pos="720"/>
              </w:tabs>
              <w:overflowPunct w:val="0"/>
              <w:autoSpaceDE w:val="0"/>
              <w:autoSpaceDN w:val="0"/>
              <w:adjustRightInd w:val="0"/>
              <w:ind w:left="0"/>
              <w:textAlignment w:val="baseline"/>
              <w:rPr>
                <w:rFonts w:eastAsia="Times New Roman"/>
                <w:bCs/>
                <w:sz w:val="22"/>
                <w:szCs w:val="22"/>
              </w:rPr>
            </w:pPr>
            <w:r w:rsidRPr="000C037E">
              <w:rPr>
                <w:rFonts w:eastAsia="Times New Roman"/>
                <w:bCs/>
                <w:sz w:val="22"/>
                <w:szCs w:val="22"/>
              </w:rPr>
              <w:t>White Horse*</w:t>
            </w:r>
          </w:p>
        </w:tc>
        <w:tc>
          <w:tcPr>
            <w:tcW w:w="1095" w:type="dxa"/>
          </w:tcPr>
          <w:p w14:paraId="505DA7F1" w14:textId="17526866" w:rsidR="00E568EF" w:rsidRPr="000C037E" w:rsidRDefault="0024568C" w:rsidP="00E568EF">
            <w:pPr>
              <w:tabs>
                <w:tab w:val="left" w:pos="720"/>
              </w:tabs>
              <w:overflowPunct w:val="0"/>
              <w:autoSpaceDE w:val="0"/>
              <w:autoSpaceDN w:val="0"/>
              <w:adjustRightInd w:val="0"/>
              <w:ind w:left="0"/>
              <w:jc w:val="center"/>
              <w:textAlignment w:val="baseline"/>
              <w:rPr>
                <w:rFonts w:eastAsia="Times New Roman"/>
                <w:bCs/>
                <w:sz w:val="22"/>
                <w:szCs w:val="22"/>
              </w:rPr>
            </w:pPr>
            <w:r>
              <w:rPr>
                <w:rFonts w:eastAsia="Times New Roman"/>
                <w:bCs/>
                <w:sz w:val="22"/>
                <w:szCs w:val="22"/>
              </w:rPr>
              <w:t>40</w:t>
            </w:r>
          </w:p>
        </w:tc>
        <w:tc>
          <w:tcPr>
            <w:tcW w:w="849" w:type="dxa"/>
            <w:vAlign w:val="center"/>
          </w:tcPr>
          <w:p w14:paraId="3400B785" w14:textId="2DAD2D0F" w:rsidR="00E568EF" w:rsidRPr="000C037E" w:rsidRDefault="0024568C" w:rsidP="00233B93">
            <w:pPr>
              <w:tabs>
                <w:tab w:val="left" w:pos="720"/>
              </w:tabs>
              <w:overflowPunct w:val="0"/>
              <w:autoSpaceDE w:val="0"/>
              <w:autoSpaceDN w:val="0"/>
              <w:adjustRightInd w:val="0"/>
              <w:ind w:left="0"/>
              <w:jc w:val="center"/>
              <w:textAlignment w:val="baseline"/>
              <w:rPr>
                <w:rFonts w:eastAsia="Times New Roman"/>
                <w:bCs/>
                <w:sz w:val="22"/>
                <w:szCs w:val="22"/>
              </w:rPr>
            </w:pPr>
            <w:r>
              <w:rPr>
                <w:rFonts w:eastAsia="Times New Roman"/>
                <w:bCs/>
                <w:sz w:val="22"/>
                <w:szCs w:val="22"/>
              </w:rPr>
              <w:t>20</w:t>
            </w:r>
            <w:r w:rsidR="0012141E">
              <w:rPr>
                <w:rFonts w:eastAsia="Times New Roman"/>
                <w:bCs/>
                <w:sz w:val="22"/>
                <w:szCs w:val="22"/>
              </w:rPr>
              <w:t>-</w:t>
            </w:r>
          </w:p>
        </w:tc>
        <w:tc>
          <w:tcPr>
            <w:tcW w:w="866" w:type="dxa"/>
            <w:vAlign w:val="center"/>
          </w:tcPr>
          <w:p w14:paraId="1A8D4388" w14:textId="631FB153" w:rsidR="00E568EF" w:rsidRPr="000C037E" w:rsidRDefault="0012141E" w:rsidP="00E568EF">
            <w:pPr>
              <w:tabs>
                <w:tab w:val="left" w:pos="720"/>
              </w:tabs>
              <w:overflowPunct w:val="0"/>
              <w:autoSpaceDE w:val="0"/>
              <w:autoSpaceDN w:val="0"/>
              <w:adjustRightInd w:val="0"/>
              <w:ind w:left="0"/>
              <w:jc w:val="center"/>
              <w:textAlignment w:val="baseline"/>
              <w:rPr>
                <w:rFonts w:eastAsia="Times New Roman"/>
                <w:bCs/>
                <w:sz w:val="22"/>
                <w:szCs w:val="22"/>
              </w:rPr>
            </w:pPr>
            <w:r>
              <w:rPr>
                <w:rFonts w:eastAsia="Times New Roman"/>
                <w:bCs/>
              </w:rPr>
              <w:t>-31</w:t>
            </w:r>
          </w:p>
        </w:tc>
        <w:tc>
          <w:tcPr>
            <w:tcW w:w="868" w:type="dxa"/>
            <w:vAlign w:val="center"/>
          </w:tcPr>
          <w:p w14:paraId="3864868F"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8" w:type="dxa"/>
            <w:vAlign w:val="center"/>
          </w:tcPr>
          <w:p w14:paraId="038AE0BD"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1216" w:type="dxa"/>
            <w:vAlign w:val="center"/>
          </w:tcPr>
          <w:p w14:paraId="01DC5C66"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r>
      <w:tr w:rsidR="00E568EF" w:rsidRPr="000C037E" w14:paraId="20669562" w14:textId="77777777" w:rsidTr="00E57698">
        <w:tc>
          <w:tcPr>
            <w:tcW w:w="3588" w:type="dxa"/>
          </w:tcPr>
          <w:p w14:paraId="66A3CF92" w14:textId="77777777" w:rsidR="00E568EF" w:rsidRPr="000C037E" w:rsidRDefault="00E568EF" w:rsidP="00E568EF">
            <w:pPr>
              <w:tabs>
                <w:tab w:val="left" w:pos="720"/>
              </w:tabs>
              <w:overflowPunct w:val="0"/>
              <w:autoSpaceDE w:val="0"/>
              <w:autoSpaceDN w:val="0"/>
              <w:adjustRightInd w:val="0"/>
              <w:ind w:left="0"/>
              <w:textAlignment w:val="baseline"/>
              <w:rPr>
                <w:rFonts w:eastAsia="Times New Roman"/>
                <w:bCs/>
                <w:sz w:val="22"/>
                <w:szCs w:val="22"/>
              </w:rPr>
            </w:pPr>
            <w:r w:rsidRPr="000C037E">
              <w:rPr>
                <w:rFonts w:eastAsia="Times New Roman"/>
                <w:bCs/>
                <w:sz w:val="22"/>
                <w:szCs w:val="22"/>
              </w:rPr>
              <w:t>Hepburn*</w:t>
            </w:r>
          </w:p>
        </w:tc>
        <w:tc>
          <w:tcPr>
            <w:tcW w:w="1095" w:type="dxa"/>
          </w:tcPr>
          <w:p w14:paraId="355EEEEE"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49" w:type="dxa"/>
            <w:vAlign w:val="center"/>
          </w:tcPr>
          <w:p w14:paraId="1600E09A"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6" w:type="dxa"/>
            <w:vAlign w:val="center"/>
          </w:tcPr>
          <w:p w14:paraId="3AB53A01"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8" w:type="dxa"/>
            <w:vAlign w:val="center"/>
          </w:tcPr>
          <w:p w14:paraId="557F0BD5"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8" w:type="dxa"/>
            <w:vAlign w:val="center"/>
          </w:tcPr>
          <w:p w14:paraId="05F5D18F"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1216" w:type="dxa"/>
            <w:vAlign w:val="center"/>
          </w:tcPr>
          <w:p w14:paraId="427512FF"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r>
      <w:tr w:rsidR="00E568EF" w:rsidRPr="000C037E" w14:paraId="62A8B0D8" w14:textId="77777777" w:rsidTr="00E57698">
        <w:tc>
          <w:tcPr>
            <w:tcW w:w="3588" w:type="dxa"/>
          </w:tcPr>
          <w:p w14:paraId="1A7D94CA" w14:textId="77777777" w:rsidR="00E568EF" w:rsidRPr="000C037E" w:rsidRDefault="00E568EF" w:rsidP="00E568EF">
            <w:pPr>
              <w:tabs>
                <w:tab w:val="left" w:pos="720"/>
              </w:tabs>
              <w:overflowPunct w:val="0"/>
              <w:autoSpaceDE w:val="0"/>
              <w:autoSpaceDN w:val="0"/>
              <w:adjustRightInd w:val="0"/>
              <w:ind w:left="0"/>
              <w:textAlignment w:val="baseline"/>
              <w:rPr>
                <w:rFonts w:eastAsia="Times New Roman"/>
                <w:bCs/>
                <w:sz w:val="22"/>
                <w:szCs w:val="22"/>
              </w:rPr>
            </w:pPr>
            <w:r w:rsidRPr="000C037E">
              <w:rPr>
                <w:rFonts w:eastAsia="Times New Roman"/>
                <w:bCs/>
                <w:sz w:val="22"/>
                <w:szCs w:val="22"/>
              </w:rPr>
              <w:t>Middle Target Springs*</w:t>
            </w:r>
          </w:p>
        </w:tc>
        <w:tc>
          <w:tcPr>
            <w:tcW w:w="1095" w:type="dxa"/>
          </w:tcPr>
          <w:p w14:paraId="5EC1C819" w14:textId="347006A1"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49" w:type="dxa"/>
            <w:vAlign w:val="center"/>
          </w:tcPr>
          <w:p w14:paraId="4B264232"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6" w:type="dxa"/>
            <w:vAlign w:val="center"/>
          </w:tcPr>
          <w:p w14:paraId="15C64D36"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8" w:type="dxa"/>
            <w:vAlign w:val="center"/>
          </w:tcPr>
          <w:p w14:paraId="738CCA4F" w14:textId="003CB81E"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8" w:type="dxa"/>
            <w:vAlign w:val="center"/>
          </w:tcPr>
          <w:p w14:paraId="7B3A33A7" w14:textId="51E2AE12"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1216" w:type="dxa"/>
            <w:vAlign w:val="center"/>
          </w:tcPr>
          <w:p w14:paraId="02DC90B9"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r>
      <w:tr w:rsidR="00E568EF" w:rsidRPr="000C037E" w14:paraId="391445C7" w14:textId="77777777" w:rsidTr="00E57698">
        <w:trPr>
          <w:trHeight w:val="323"/>
        </w:trPr>
        <w:tc>
          <w:tcPr>
            <w:tcW w:w="3588" w:type="dxa"/>
          </w:tcPr>
          <w:p w14:paraId="7C952BAE" w14:textId="77777777" w:rsidR="00E568EF" w:rsidRPr="000C037E" w:rsidRDefault="00E568EF" w:rsidP="00E568EF">
            <w:pPr>
              <w:tabs>
                <w:tab w:val="left" w:pos="720"/>
              </w:tabs>
              <w:overflowPunct w:val="0"/>
              <w:autoSpaceDE w:val="0"/>
              <w:autoSpaceDN w:val="0"/>
              <w:adjustRightInd w:val="0"/>
              <w:ind w:left="0"/>
              <w:textAlignment w:val="baseline"/>
              <w:rPr>
                <w:rFonts w:eastAsia="Times New Roman"/>
                <w:bCs/>
                <w:sz w:val="22"/>
                <w:szCs w:val="22"/>
              </w:rPr>
            </w:pPr>
            <w:r w:rsidRPr="000C037E">
              <w:rPr>
                <w:rFonts w:eastAsia="Times New Roman"/>
                <w:bCs/>
                <w:sz w:val="22"/>
                <w:szCs w:val="22"/>
              </w:rPr>
              <w:t>South Target</w:t>
            </w:r>
          </w:p>
        </w:tc>
        <w:tc>
          <w:tcPr>
            <w:tcW w:w="1095" w:type="dxa"/>
          </w:tcPr>
          <w:p w14:paraId="62489C09" w14:textId="275A16D8" w:rsidR="00E568EF" w:rsidRDefault="0024568C" w:rsidP="00E568EF">
            <w:pPr>
              <w:tabs>
                <w:tab w:val="left" w:pos="720"/>
              </w:tabs>
              <w:overflowPunct w:val="0"/>
              <w:autoSpaceDE w:val="0"/>
              <w:autoSpaceDN w:val="0"/>
              <w:adjustRightInd w:val="0"/>
              <w:ind w:left="0"/>
              <w:jc w:val="center"/>
              <w:textAlignment w:val="baseline"/>
              <w:rPr>
                <w:rFonts w:eastAsia="Times New Roman"/>
                <w:bCs/>
              </w:rPr>
            </w:pPr>
            <w:r>
              <w:rPr>
                <w:rFonts w:eastAsia="Times New Roman"/>
                <w:bCs/>
              </w:rPr>
              <w:t>190</w:t>
            </w:r>
          </w:p>
          <w:p w14:paraId="01B9A18F" w14:textId="0D4589BF" w:rsidR="00144F8B" w:rsidRPr="000C037E" w:rsidRDefault="00144F8B"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49" w:type="dxa"/>
            <w:vAlign w:val="center"/>
          </w:tcPr>
          <w:p w14:paraId="49779B6D" w14:textId="77777777" w:rsidR="00E568EF" w:rsidRPr="000C037E" w:rsidRDefault="00E568EF" w:rsidP="00E568EF">
            <w:pPr>
              <w:tabs>
                <w:tab w:val="left" w:pos="720"/>
              </w:tabs>
              <w:overflowPunct w:val="0"/>
              <w:autoSpaceDE w:val="0"/>
              <w:autoSpaceDN w:val="0"/>
              <w:adjustRightInd w:val="0"/>
              <w:ind w:left="0"/>
              <w:jc w:val="center"/>
              <w:textAlignment w:val="baseline"/>
              <w:rPr>
                <w:rFonts w:eastAsia="Times New Roman"/>
                <w:bCs/>
                <w:sz w:val="22"/>
                <w:szCs w:val="22"/>
              </w:rPr>
            </w:pPr>
          </w:p>
        </w:tc>
        <w:tc>
          <w:tcPr>
            <w:tcW w:w="866" w:type="dxa"/>
            <w:vAlign w:val="center"/>
          </w:tcPr>
          <w:p w14:paraId="0C929273" w14:textId="05356246" w:rsidR="00E568EF" w:rsidRPr="002A5A6C" w:rsidRDefault="00E568EF" w:rsidP="00E568EF">
            <w:pPr>
              <w:tabs>
                <w:tab w:val="left" w:pos="720"/>
              </w:tabs>
              <w:overflowPunct w:val="0"/>
              <w:autoSpaceDE w:val="0"/>
              <w:autoSpaceDN w:val="0"/>
              <w:adjustRightInd w:val="0"/>
              <w:ind w:left="0"/>
              <w:jc w:val="center"/>
              <w:textAlignment w:val="baseline"/>
              <w:rPr>
                <w:rFonts w:eastAsia="Times New Roman"/>
                <w:bCs/>
              </w:rPr>
            </w:pPr>
          </w:p>
        </w:tc>
        <w:tc>
          <w:tcPr>
            <w:tcW w:w="868" w:type="dxa"/>
            <w:vAlign w:val="center"/>
          </w:tcPr>
          <w:p w14:paraId="43807CE1" w14:textId="77777777" w:rsidR="00E568EF" w:rsidRDefault="00144F8B" w:rsidP="00E568EF">
            <w:pPr>
              <w:tabs>
                <w:tab w:val="left" w:pos="720"/>
              </w:tabs>
              <w:overflowPunct w:val="0"/>
              <w:autoSpaceDE w:val="0"/>
              <w:autoSpaceDN w:val="0"/>
              <w:adjustRightInd w:val="0"/>
              <w:ind w:left="0"/>
              <w:jc w:val="center"/>
              <w:textAlignment w:val="baseline"/>
              <w:rPr>
                <w:rFonts w:eastAsia="Times New Roman"/>
                <w:bCs/>
              </w:rPr>
            </w:pPr>
            <w:r>
              <w:rPr>
                <w:rFonts w:eastAsia="Times New Roman"/>
                <w:bCs/>
              </w:rPr>
              <w:t>1-</w:t>
            </w:r>
          </w:p>
          <w:p w14:paraId="6E08F4D4" w14:textId="1DC902E3" w:rsidR="00144F8B" w:rsidRPr="002A5A6C" w:rsidRDefault="00144F8B" w:rsidP="00E568EF">
            <w:pPr>
              <w:tabs>
                <w:tab w:val="left" w:pos="720"/>
              </w:tabs>
              <w:overflowPunct w:val="0"/>
              <w:autoSpaceDE w:val="0"/>
              <w:autoSpaceDN w:val="0"/>
              <w:adjustRightInd w:val="0"/>
              <w:ind w:left="0"/>
              <w:jc w:val="center"/>
              <w:textAlignment w:val="baseline"/>
              <w:rPr>
                <w:rFonts w:eastAsia="Times New Roman"/>
                <w:bCs/>
              </w:rPr>
            </w:pPr>
          </w:p>
        </w:tc>
        <w:tc>
          <w:tcPr>
            <w:tcW w:w="868" w:type="dxa"/>
            <w:vAlign w:val="center"/>
          </w:tcPr>
          <w:p w14:paraId="68A56BEA" w14:textId="05A64CBD" w:rsidR="00144F8B" w:rsidRPr="002A5A6C" w:rsidRDefault="00144F8B" w:rsidP="00E568EF">
            <w:pPr>
              <w:tabs>
                <w:tab w:val="left" w:pos="720"/>
              </w:tabs>
              <w:overflowPunct w:val="0"/>
              <w:autoSpaceDE w:val="0"/>
              <w:autoSpaceDN w:val="0"/>
              <w:adjustRightInd w:val="0"/>
              <w:ind w:left="0"/>
              <w:jc w:val="center"/>
              <w:textAlignment w:val="baseline"/>
              <w:rPr>
                <w:rFonts w:eastAsia="Times New Roman"/>
                <w:bCs/>
              </w:rPr>
            </w:pPr>
            <w:r w:rsidRPr="002A5A6C">
              <w:rPr>
                <w:rFonts w:eastAsia="Times New Roman"/>
                <w:bCs/>
              </w:rPr>
              <w:t>-</w:t>
            </w:r>
          </w:p>
        </w:tc>
        <w:tc>
          <w:tcPr>
            <w:tcW w:w="1216" w:type="dxa"/>
            <w:vAlign w:val="center"/>
          </w:tcPr>
          <w:p w14:paraId="2D29D670" w14:textId="4FB5EB2D" w:rsidR="00144F8B" w:rsidRPr="002A5A6C" w:rsidRDefault="00144F8B" w:rsidP="00E568EF">
            <w:pPr>
              <w:tabs>
                <w:tab w:val="left" w:pos="720"/>
              </w:tabs>
              <w:overflowPunct w:val="0"/>
              <w:autoSpaceDE w:val="0"/>
              <w:autoSpaceDN w:val="0"/>
              <w:adjustRightInd w:val="0"/>
              <w:ind w:left="0"/>
              <w:jc w:val="center"/>
              <w:textAlignment w:val="baseline"/>
              <w:rPr>
                <w:rFonts w:eastAsia="Times New Roman"/>
                <w:bCs/>
              </w:rPr>
            </w:pPr>
            <w:r w:rsidRPr="002A5A6C">
              <w:rPr>
                <w:rFonts w:eastAsia="Times New Roman"/>
                <w:bCs/>
              </w:rPr>
              <w:t>-</w:t>
            </w:r>
            <w:r w:rsidR="002A5A6C" w:rsidRPr="002A5A6C">
              <w:rPr>
                <w:rFonts w:eastAsia="Times New Roman"/>
                <w:bCs/>
              </w:rPr>
              <w:t>10</w:t>
            </w:r>
          </w:p>
        </w:tc>
      </w:tr>
      <w:tr w:rsidR="005B4BBD" w:rsidRPr="000C037E" w14:paraId="28D5BDDA" w14:textId="77777777" w:rsidTr="00E57698">
        <w:tc>
          <w:tcPr>
            <w:tcW w:w="3588" w:type="dxa"/>
          </w:tcPr>
          <w:p w14:paraId="59C5BAE2" w14:textId="77777777" w:rsidR="005B4BBD" w:rsidRPr="000C037E" w:rsidRDefault="005B4BBD" w:rsidP="005D7C2C">
            <w:pPr>
              <w:tabs>
                <w:tab w:val="left" w:pos="720"/>
              </w:tabs>
              <w:overflowPunct w:val="0"/>
              <w:autoSpaceDE w:val="0"/>
              <w:autoSpaceDN w:val="0"/>
              <w:adjustRightInd w:val="0"/>
              <w:ind w:left="0"/>
              <w:textAlignment w:val="baseline"/>
              <w:rPr>
                <w:rFonts w:eastAsia="Times New Roman"/>
                <w:bCs/>
                <w:sz w:val="22"/>
                <w:szCs w:val="22"/>
              </w:rPr>
            </w:pPr>
            <w:r w:rsidRPr="000C037E">
              <w:rPr>
                <w:rFonts w:eastAsia="Times New Roman"/>
                <w:bCs/>
                <w:sz w:val="22"/>
                <w:szCs w:val="22"/>
              </w:rPr>
              <w:t>Little Sheep Riparian</w:t>
            </w:r>
          </w:p>
        </w:tc>
        <w:tc>
          <w:tcPr>
            <w:tcW w:w="5762" w:type="dxa"/>
            <w:gridSpan w:val="6"/>
          </w:tcPr>
          <w:p w14:paraId="119F56E8"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Cs/>
                <w:sz w:val="22"/>
                <w:szCs w:val="22"/>
              </w:rPr>
            </w:pPr>
            <w:r w:rsidRPr="000C037E">
              <w:rPr>
                <w:rFonts w:eastAsia="Times New Roman"/>
                <w:bCs/>
                <w:sz w:val="22"/>
                <w:szCs w:val="22"/>
              </w:rPr>
              <w:t>No planned use</w:t>
            </w:r>
          </w:p>
        </w:tc>
      </w:tr>
      <w:tr w:rsidR="005B4BBD" w:rsidRPr="000C037E" w14:paraId="63712E49" w14:textId="77777777" w:rsidTr="00E57698">
        <w:tc>
          <w:tcPr>
            <w:tcW w:w="3588" w:type="dxa"/>
          </w:tcPr>
          <w:p w14:paraId="2AE1172F" w14:textId="77777777" w:rsidR="005B4BBD" w:rsidRPr="000C037E" w:rsidRDefault="005B4BBD" w:rsidP="005D7C2C">
            <w:pPr>
              <w:tabs>
                <w:tab w:val="left" w:pos="720"/>
              </w:tabs>
              <w:overflowPunct w:val="0"/>
              <w:autoSpaceDE w:val="0"/>
              <w:autoSpaceDN w:val="0"/>
              <w:adjustRightInd w:val="0"/>
              <w:ind w:left="0"/>
              <w:textAlignment w:val="baseline"/>
              <w:rPr>
                <w:rFonts w:eastAsia="Times New Roman"/>
                <w:bCs/>
                <w:sz w:val="22"/>
                <w:szCs w:val="22"/>
              </w:rPr>
            </w:pPr>
            <w:r w:rsidRPr="000C037E">
              <w:rPr>
                <w:rFonts w:eastAsia="Times New Roman"/>
                <w:bCs/>
                <w:sz w:val="22"/>
                <w:szCs w:val="22"/>
              </w:rPr>
              <w:t>Holding</w:t>
            </w:r>
          </w:p>
        </w:tc>
        <w:tc>
          <w:tcPr>
            <w:tcW w:w="5762" w:type="dxa"/>
            <w:gridSpan w:val="6"/>
          </w:tcPr>
          <w:p w14:paraId="18432863"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Cs/>
                <w:sz w:val="22"/>
                <w:szCs w:val="22"/>
              </w:rPr>
            </w:pPr>
            <w:r w:rsidRPr="000C037E">
              <w:rPr>
                <w:rFonts w:eastAsia="Times New Roman"/>
                <w:bCs/>
                <w:sz w:val="22"/>
                <w:szCs w:val="22"/>
              </w:rPr>
              <w:t>As needed to manage cattle</w:t>
            </w:r>
          </w:p>
        </w:tc>
      </w:tr>
      <w:tr w:rsidR="005B4BBD" w:rsidRPr="000C037E" w14:paraId="487D8406" w14:textId="77777777" w:rsidTr="00E57698">
        <w:tc>
          <w:tcPr>
            <w:tcW w:w="3588" w:type="dxa"/>
          </w:tcPr>
          <w:p w14:paraId="08099BF0" w14:textId="77777777" w:rsidR="005B4BBD" w:rsidRPr="000C037E" w:rsidRDefault="005B4BBD" w:rsidP="005D7C2C">
            <w:pPr>
              <w:tabs>
                <w:tab w:val="left" w:pos="720"/>
              </w:tabs>
              <w:overflowPunct w:val="0"/>
              <w:autoSpaceDE w:val="0"/>
              <w:autoSpaceDN w:val="0"/>
              <w:adjustRightInd w:val="0"/>
              <w:ind w:left="0"/>
              <w:textAlignment w:val="baseline"/>
              <w:rPr>
                <w:rFonts w:eastAsia="Times New Roman"/>
                <w:bCs/>
                <w:sz w:val="22"/>
                <w:szCs w:val="22"/>
              </w:rPr>
            </w:pPr>
            <w:r w:rsidRPr="000C037E">
              <w:rPr>
                <w:rFonts w:eastAsia="Times New Roman"/>
                <w:bCs/>
                <w:sz w:val="22"/>
                <w:szCs w:val="22"/>
              </w:rPr>
              <w:t>Cow Camp Horse Pasture</w:t>
            </w:r>
          </w:p>
        </w:tc>
        <w:tc>
          <w:tcPr>
            <w:tcW w:w="1095" w:type="dxa"/>
          </w:tcPr>
          <w:p w14:paraId="73AFEB80"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Cs/>
                <w:sz w:val="22"/>
                <w:szCs w:val="22"/>
              </w:rPr>
            </w:pPr>
            <w:r w:rsidRPr="000C037E">
              <w:rPr>
                <w:rFonts w:eastAsia="Times New Roman"/>
                <w:bCs/>
                <w:sz w:val="22"/>
                <w:szCs w:val="22"/>
              </w:rPr>
              <w:t>3 H/M</w:t>
            </w:r>
          </w:p>
        </w:tc>
        <w:tc>
          <w:tcPr>
            <w:tcW w:w="849" w:type="dxa"/>
            <w:vAlign w:val="center"/>
          </w:tcPr>
          <w:p w14:paraId="3EEA78DF"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Cs/>
                <w:sz w:val="22"/>
                <w:szCs w:val="22"/>
              </w:rPr>
            </w:pPr>
            <w:r w:rsidRPr="000C037E">
              <w:rPr>
                <w:rFonts w:eastAsia="Times New Roman"/>
                <w:bCs/>
                <w:sz w:val="22"/>
                <w:szCs w:val="22"/>
              </w:rPr>
              <w:t>11-</w:t>
            </w:r>
          </w:p>
        </w:tc>
        <w:tc>
          <w:tcPr>
            <w:tcW w:w="866" w:type="dxa"/>
            <w:vAlign w:val="center"/>
          </w:tcPr>
          <w:p w14:paraId="442BE817"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Cs/>
                <w:sz w:val="22"/>
                <w:szCs w:val="22"/>
              </w:rPr>
            </w:pPr>
            <w:r w:rsidRPr="000C037E">
              <w:rPr>
                <w:rFonts w:eastAsia="Times New Roman"/>
                <w:bCs/>
                <w:sz w:val="22"/>
                <w:szCs w:val="22"/>
              </w:rPr>
              <w:t>-</w:t>
            </w:r>
          </w:p>
        </w:tc>
        <w:tc>
          <w:tcPr>
            <w:tcW w:w="868" w:type="dxa"/>
            <w:vAlign w:val="center"/>
          </w:tcPr>
          <w:p w14:paraId="63739577"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Cs/>
                <w:sz w:val="22"/>
                <w:szCs w:val="22"/>
              </w:rPr>
            </w:pPr>
            <w:r w:rsidRPr="000C037E">
              <w:rPr>
                <w:rFonts w:eastAsia="Times New Roman"/>
                <w:bCs/>
                <w:sz w:val="22"/>
                <w:szCs w:val="22"/>
              </w:rPr>
              <w:t>-</w:t>
            </w:r>
          </w:p>
        </w:tc>
        <w:tc>
          <w:tcPr>
            <w:tcW w:w="868" w:type="dxa"/>
            <w:vAlign w:val="center"/>
          </w:tcPr>
          <w:p w14:paraId="6439F1A3"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Cs/>
                <w:sz w:val="22"/>
                <w:szCs w:val="22"/>
              </w:rPr>
            </w:pPr>
            <w:r w:rsidRPr="000C037E">
              <w:rPr>
                <w:rFonts w:eastAsia="Times New Roman"/>
                <w:bCs/>
                <w:sz w:val="22"/>
                <w:szCs w:val="22"/>
              </w:rPr>
              <w:t>-</w:t>
            </w:r>
          </w:p>
        </w:tc>
        <w:tc>
          <w:tcPr>
            <w:tcW w:w="1216" w:type="dxa"/>
            <w:vAlign w:val="center"/>
          </w:tcPr>
          <w:p w14:paraId="1DF7DA46" w14:textId="77777777" w:rsidR="005B4BBD" w:rsidRPr="000C037E" w:rsidRDefault="005B4BBD" w:rsidP="005D7C2C">
            <w:pPr>
              <w:tabs>
                <w:tab w:val="left" w:pos="720"/>
              </w:tabs>
              <w:overflowPunct w:val="0"/>
              <w:autoSpaceDE w:val="0"/>
              <w:autoSpaceDN w:val="0"/>
              <w:adjustRightInd w:val="0"/>
              <w:ind w:left="0"/>
              <w:jc w:val="center"/>
              <w:textAlignment w:val="baseline"/>
              <w:rPr>
                <w:rFonts w:eastAsia="Times New Roman"/>
                <w:bCs/>
                <w:sz w:val="22"/>
                <w:szCs w:val="22"/>
              </w:rPr>
            </w:pPr>
            <w:r w:rsidRPr="000C037E">
              <w:rPr>
                <w:rFonts w:eastAsia="Times New Roman"/>
                <w:bCs/>
                <w:sz w:val="22"/>
                <w:szCs w:val="22"/>
              </w:rPr>
              <w:t>-21</w:t>
            </w:r>
          </w:p>
        </w:tc>
      </w:tr>
    </w:tbl>
    <w:p w14:paraId="17BB4D6D" w14:textId="3C560A74" w:rsidR="005B4BBD" w:rsidRPr="005B4BBD" w:rsidRDefault="005B4BBD" w:rsidP="0035091E">
      <w:pPr>
        <w:pStyle w:val="Heading2"/>
        <w:rPr>
          <w:b w:val="0"/>
          <w:sz w:val="16"/>
          <w:szCs w:val="16"/>
          <w:u w:val="none"/>
        </w:rPr>
      </w:pPr>
      <w:r w:rsidRPr="005B4BBD">
        <w:rPr>
          <w:b w:val="0"/>
          <w:sz w:val="16"/>
          <w:szCs w:val="16"/>
          <w:u w:val="none"/>
        </w:rPr>
        <w:t xml:space="preserve">*Contains </w:t>
      </w:r>
      <w:r>
        <w:rPr>
          <w:b w:val="0"/>
          <w:sz w:val="16"/>
          <w:szCs w:val="16"/>
          <w:u w:val="none"/>
        </w:rPr>
        <w:t>listed fish s</w:t>
      </w:r>
      <w:r w:rsidRPr="005B4BBD">
        <w:rPr>
          <w:b w:val="0"/>
          <w:sz w:val="16"/>
          <w:szCs w:val="16"/>
          <w:u w:val="none"/>
        </w:rPr>
        <w:t>pecies</w:t>
      </w:r>
    </w:p>
    <w:p w14:paraId="4DFD8217" w14:textId="77777777" w:rsidR="004A7A38" w:rsidRDefault="004A7A38" w:rsidP="0035091E">
      <w:pPr>
        <w:pStyle w:val="Heading2"/>
        <w:rPr>
          <w:b w:val="0"/>
          <w:u w:val="none"/>
        </w:rPr>
      </w:pPr>
    </w:p>
    <w:p w14:paraId="7251497C" w14:textId="1810DFBC" w:rsidR="000B1395" w:rsidRPr="00823320" w:rsidRDefault="004A7A38" w:rsidP="005604FD">
      <w:pPr>
        <w:pStyle w:val="ListParagraph"/>
        <w:numPr>
          <w:ilvl w:val="1"/>
          <w:numId w:val="1"/>
        </w:numPr>
        <w:ind w:left="810"/>
      </w:pPr>
      <w:r>
        <w:t xml:space="preserve">Results from all monitoring identified as part of the proposed action, to include utilization, unauthorized use, and compliance monitoring, to include any </w:t>
      </w:r>
      <w:r w:rsidR="00614607">
        <w:t>exceedance</w:t>
      </w:r>
      <w:r>
        <w:t xml:space="preserve"> of endpoint indicators. </w:t>
      </w:r>
    </w:p>
    <w:p w14:paraId="608A64D3" w14:textId="77777777" w:rsidR="000B1395" w:rsidRDefault="000B1395" w:rsidP="00C2637C">
      <w:pPr>
        <w:ind w:left="0"/>
        <w:rPr>
          <w:b/>
        </w:rPr>
      </w:pPr>
    </w:p>
    <w:p w14:paraId="1BCBC543" w14:textId="527FC5AE" w:rsidR="005D7C2C" w:rsidRPr="000C037E" w:rsidRDefault="005D7C2C" w:rsidP="00C2637C">
      <w:pPr>
        <w:ind w:left="0"/>
        <w:rPr>
          <w:b/>
        </w:rPr>
      </w:pPr>
      <w:r w:rsidRPr="00C2637C">
        <w:rPr>
          <w:b/>
        </w:rPr>
        <w:t>Table 2</w:t>
      </w:r>
      <w:r w:rsidR="00C2637C">
        <w:rPr>
          <w:b/>
        </w:rPr>
        <w:t>.</w:t>
      </w:r>
      <w:r w:rsidRPr="00C2637C">
        <w:t xml:space="preserve"> </w:t>
      </w:r>
      <w:r w:rsidR="00614607">
        <w:t>201</w:t>
      </w:r>
      <w:r w:rsidR="00BA4580">
        <w:t>5 and 2016</w:t>
      </w:r>
      <w:r w:rsidR="00614607">
        <w:t xml:space="preserve"> U</w:t>
      </w:r>
      <w:r w:rsidRPr="000C037E">
        <w:t xml:space="preserve">tilization </w:t>
      </w:r>
      <w:r w:rsidR="00614607">
        <w:t>Standards Data</w:t>
      </w:r>
    </w:p>
    <w:tbl>
      <w:tblPr>
        <w:tblStyle w:val="TableGrid"/>
        <w:tblW w:w="0" w:type="auto"/>
        <w:tblLayout w:type="fixed"/>
        <w:tblLook w:val="04A0" w:firstRow="1" w:lastRow="0" w:firstColumn="1" w:lastColumn="0" w:noHBand="0" w:noVBand="1"/>
      </w:tblPr>
      <w:tblGrid>
        <w:gridCol w:w="1920"/>
        <w:gridCol w:w="1154"/>
        <w:gridCol w:w="864"/>
        <w:gridCol w:w="864"/>
        <w:gridCol w:w="576"/>
        <w:gridCol w:w="671"/>
        <w:gridCol w:w="671"/>
        <w:gridCol w:w="864"/>
        <w:gridCol w:w="769"/>
        <w:gridCol w:w="997"/>
      </w:tblGrid>
      <w:tr w:rsidR="005D7C2C" w:rsidRPr="00534CBE" w14:paraId="48575D09" w14:textId="77777777" w:rsidTr="00E57698">
        <w:trPr>
          <w:trHeight w:val="503"/>
        </w:trPr>
        <w:tc>
          <w:tcPr>
            <w:tcW w:w="1920" w:type="dxa"/>
            <w:shd w:val="clear" w:color="auto" w:fill="D9D9D9" w:themeFill="background1" w:themeFillShade="D9"/>
          </w:tcPr>
          <w:p w14:paraId="735B672A" w14:textId="77777777" w:rsidR="005D7C2C" w:rsidRPr="00534CBE" w:rsidRDefault="005D7C2C" w:rsidP="005D7C2C">
            <w:pPr>
              <w:tabs>
                <w:tab w:val="left" w:pos="720"/>
              </w:tabs>
              <w:overflowPunct w:val="0"/>
              <w:autoSpaceDE w:val="0"/>
              <w:autoSpaceDN w:val="0"/>
              <w:adjustRightInd w:val="0"/>
              <w:ind w:left="0"/>
              <w:textAlignment w:val="baseline"/>
              <w:rPr>
                <w:rFonts w:eastAsia="Times New Roman"/>
                <w:b/>
                <w:bCs/>
                <w:sz w:val="22"/>
                <w:szCs w:val="22"/>
              </w:rPr>
            </w:pPr>
            <w:r w:rsidRPr="00534CBE">
              <w:rPr>
                <w:rFonts w:eastAsia="Times New Roman"/>
                <w:b/>
                <w:bCs/>
                <w:sz w:val="22"/>
                <w:szCs w:val="22"/>
              </w:rPr>
              <w:t>Pasture/</w:t>
            </w:r>
          </w:p>
          <w:p w14:paraId="1491AF92" w14:textId="77777777" w:rsidR="005D7C2C" w:rsidRPr="00534CBE" w:rsidRDefault="005D7C2C" w:rsidP="005D7C2C">
            <w:pPr>
              <w:tabs>
                <w:tab w:val="left" w:pos="720"/>
              </w:tabs>
              <w:overflowPunct w:val="0"/>
              <w:autoSpaceDE w:val="0"/>
              <w:autoSpaceDN w:val="0"/>
              <w:adjustRightInd w:val="0"/>
              <w:ind w:left="0"/>
              <w:textAlignment w:val="baseline"/>
              <w:rPr>
                <w:rFonts w:eastAsia="Times New Roman"/>
                <w:b/>
                <w:bCs/>
                <w:sz w:val="22"/>
                <w:szCs w:val="22"/>
              </w:rPr>
            </w:pPr>
            <w:r w:rsidRPr="00534CBE">
              <w:rPr>
                <w:rFonts w:eastAsia="Times New Roman"/>
                <w:b/>
                <w:bCs/>
                <w:sz w:val="22"/>
                <w:szCs w:val="22"/>
              </w:rPr>
              <w:t>Key Area</w:t>
            </w:r>
          </w:p>
        </w:tc>
        <w:tc>
          <w:tcPr>
            <w:tcW w:w="1154" w:type="dxa"/>
            <w:shd w:val="clear" w:color="auto" w:fill="D9D9D9" w:themeFill="background1" w:themeFillShade="D9"/>
            <w:vAlign w:val="center"/>
          </w:tcPr>
          <w:p w14:paraId="34092A83" w14:textId="77777777" w:rsidR="005D7C2C" w:rsidRPr="00534CBE" w:rsidRDefault="005D7C2C" w:rsidP="005D7C2C">
            <w:pPr>
              <w:tabs>
                <w:tab w:val="left" w:pos="720"/>
              </w:tabs>
              <w:overflowPunct w:val="0"/>
              <w:autoSpaceDE w:val="0"/>
              <w:autoSpaceDN w:val="0"/>
              <w:adjustRightInd w:val="0"/>
              <w:ind w:left="0"/>
              <w:jc w:val="center"/>
              <w:textAlignment w:val="baseline"/>
              <w:rPr>
                <w:rFonts w:eastAsia="Times New Roman"/>
                <w:b/>
                <w:bCs/>
                <w:sz w:val="22"/>
                <w:szCs w:val="22"/>
              </w:rPr>
            </w:pPr>
            <w:r w:rsidRPr="00534CBE">
              <w:rPr>
                <w:rFonts w:eastAsia="Times New Roman"/>
                <w:b/>
                <w:bCs/>
                <w:sz w:val="22"/>
                <w:szCs w:val="22"/>
              </w:rPr>
              <w:t>Date</w:t>
            </w:r>
          </w:p>
        </w:tc>
        <w:tc>
          <w:tcPr>
            <w:tcW w:w="864" w:type="dxa"/>
            <w:shd w:val="clear" w:color="auto" w:fill="D9D9D9" w:themeFill="background1" w:themeFillShade="D9"/>
            <w:vAlign w:val="center"/>
          </w:tcPr>
          <w:p w14:paraId="5EB0BF73" w14:textId="77777777" w:rsidR="005D7C2C" w:rsidRPr="00534CBE" w:rsidRDefault="005D7C2C" w:rsidP="005D7C2C">
            <w:pPr>
              <w:overflowPunct w:val="0"/>
              <w:autoSpaceDE w:val="0"/>
              <w:autoSpaceDN w:val="0"/>
              <w:adjustRightInd w:val="0"/>
              <w:ind w:left="-108" w:right="-108"/>
              <w:jc w:val="center"/>
              <w:textAlignment w:val="baseline"/>
              <w:rPr>
                <w:rFonts w:eastAsia="Times New Roman"/>
                <w:b/>
                <w:bCs/>
                <w:sz w:val="22"/>
                <w:szCs w:val="22"/>
              </w:rPr>
            </w:pPr>
            <w:r w:rsidRPr="00534CBE">
              <w:rPr>
                <w:rFonts w:eastAsia="Times New Roman"/>
                <w:b/>
                <w:bCs/>
                <w:sz w:val="22"/>
                <w:szCs w:val="22"/>
              </w:rPr>
              <w:t>GLSH</w:t>
            </w:r>
          </w:p>
        </w:tc>
        <w:tc>
          <w:tcPr>
            <w:tcW w:w="864" w:type="dxa"/>
            <w:shd w:val="clear" w:color="auto" w:fill="D9D9D9" w:themeFill="background1" w:themeFillShade="D9"/>
            <w:vAlign w:val="center"/>
          </w:tcPr>
          <w:p w14:paraId="3DAD9324" w14:textId="0F45FD15" w:rsidR="005D7C2C" w:rsidRPr="00534CBE" w:rsidRDefault="005D7C2C" w:rsidP="005D7C2C">
            <w:pPr>
              <w:overflowPunct w:val="0"/>
              <w:autoSpaceDE w:val="0"/>
              <w:autoSpaceDN w:val="0"/>
              <w:adjustRightInd w:val="0"/>
              <w:ind w:left="-108" w:right="-108"/>
              <w:jc w:val="center"/>
              <w:textAlignment w:val="baseline"/>
              <w:rPr>
                <w:rFonts w:eastAsia="Times New Roman"/>
                <w:b/>
                <w:bCs/>
                <w:sz w:val="22"/>
                <w:szCs w:val="22"/>
              </w:rPr>
            </w:pPr>
            <w:r w:rsidRPr="00534CBE">
              <w:rPr>
                <w:rFonts w:eastAsia="Times New Roman"/>
                <w:b/>
                <w:bCs/>
                <w:sz w:val="22"/>
                <w:szCs w:val="22"/>
              </w:rPr>
              <w:t>GLSH</w:t>
            </w:r>
            <w:r w:rsidR="005F1D84">
              <w:rPr>
                <w:rFonts w:eastAsia="Times New Roman"/>
                <w:b/>
                <w:bCs/>
                <w:sz w:val="22"/>
                <w:szCs w:val="22"/>
              </w:rPr>
              <w:t xml:space="preserve"> Std.</w:t>
            </w:r>
          </w:p>
        </w:tc>
        <w:tc>
          <w:tcPr>
            <w:tcW w:w="576" w:type="dxa"/>
            <w:shd w:val="clear" w:color="auto" w:fill="D9D9D9" w:themeFill="background1" w:themeFillShade="D9"/>
            <w:vAlign w:val="center"/>
          </w:tcPr>
          <w:p w14:paraId="46F2A94A" w14:textId="77777777" w:rsidR="005D7C2C" w:rsidRPr="00534CBE" w:rsidRDefault="005D7C2C" w:rsidP="005D7C2C">
            <w:pPr>
              <w:overflowPunct w:val="0"/>
              <w:autoSpaceDE w:val="0"/>
              <w:autoSpaceDN w:val="0"/>
              <w:adjustRightInd w:val="0"/>
              <w:ind w:left="-108" w:right="-131"/>
              <w:jc w:val="center"/>
              <w:textAlignment w:val="baseline"/>
              <w:rPr>
                <w:rFonts w:eastAsia="Times New Roman"/>
                <w:b/>
                <w:bCs/>
                <w:sz w:val="22"/>
                <w:szCs w:val="22"/>
              </w:rPr>
            </w:pPr>
            <w:r w:rsidRPr="00534CBE">
              <w:rPr>
                <w:rFonts w:eastAsia="Times New Roman"/>
                <w:b/>
                <w:bCs/>
                <w:sz w:val="22"/>
                <w:szCs w:val="22"/>
              </w:rPr>
              <w:t>WB</w:t>
            </w:r>
          </w:p>
        </w:tc>
        <w:tc>
          <w:tcPr>
            <w:tcW w:w="671" w:type="dxa"/>
            <w:shd w:val="clear" w:color="auto" w:fill="D9D9D9" w:themeFill="background1" w:themeFillShade="D9"/>
            <w:vAlign w:val="center"/>
          </w:tcPr>
          <w:p w14:paraId="66555439" w14:textId="0B0ABA17" w:rsidR="005D7C2C" w:rsidRPr="00534CBE" w:rsidRDefault="005D7C2C" w:rsidP="005D7C2C">
            <w:pPr>
              <w:overflowPunct w:val="0"/>
              <w:autoSpaceDE w:val="0"/>
              <w:autoSpaceDN w:val="0"/>
              <w:adjustRightInd w:val="0"/>
              <w:ind w:left="0" w:right="-41"/>
              <w:jc w:val="center"/>
              <w:textAlignment w:val="baseline"/>
              <w:rPr>
                <w:rFonts w:eastAsia="Times New Roman"/>
                <w:b/>
                <w:bCs/>
                <w:sz w:val="22"/>
                <w:szCs w:val="22"/>
              </w:rPr>
            </w:pPr>
            <w:r w:rsidRPr="00534CBE">
              <w:rPr>
                <w:rFonts w:eastAsia="Times New Roman"/>
                <w:b/>
                <w:bCs/>
                <w:sz w:val="22"/>
                <w:szCs w:val="22"/>
              </w:rPr>
              <w:t>W</w:t>
            </w:r>
            <w:r>
              <w:rPr>
                <w:rFonts w:eastAsia="Times New Roman"/>
                <w:b/>
                <w:bCs/>
                <w:sz w:val="22"/>
                <w:szCs w:val="22"/>
              </w:rPr>
              <w:t>B</w:t>
            </w:r>
            <w:r w:rsidR="005F1D84">
              <w:rPr>
                <w:rFonts w:eastAsia="Times New Roman"/>
                <w:b/>
                <w:bCs/>
                <w:sz w:val="22"/>
                <w:szCs w:val="22"/>
              </w:rPr>
              <w:t xml:space="preserve"> Std.</w:t>
            </w:r>
          </w:p>
        </w:tc>
        <w:tc>
          <w:tcPr>
            <w:tcW w:w="671" w:type="dxa"/>
            <w:shd w:val="clear" w:color="auto" w:fill="D9D9D9" w:themeFill="background1" w:themeFillShade="D9"/>
            <w:vAlign w:val="center"/>
          </w:tcPr>
          <w:p w14:paraId="728CEE76" w14:textId="77777777" w:rsidR="005D7C2C" w:rsidRPr="00534CBE" w:rsidRDefault="005D7C2C" w:rsidP="005D7C2C">
            <w:pPr>
              <w:overflowPunct w:val="0"/>
              <w:autoSpaceDE w:val="0"/>
              <w:autoSpaceDN w:val="0"/>
              <w:adjustRightInd w:val="0"/>
              <w:ind w:left="-108" w:right="-131"/>
              <w:jc w:val="center"/>
              <w:textAlignment w:val="baseline"/>
              <w:rPr>
                <w:rFonts w:eastAsia="Times New Roman"/>
                <w:b/>
                <w:bCs/>
                <w:sz w:val="22"/>
                <w:szCs w:val="22"/>
              </w:rPr>
            </w:pPr>
            <w:r w:rsidRPr="00534CBE">
              <w:rPr>
                <w:rFonts w:eastAsia="Times New Roman"/>
                <w:b/>
                <w:bCs/>
                <w:sz w:val="22"/>
                <w:szCs w:val="22"/>
              </w:rPr>
              <w:t>B</w:t>
            </w:r>
            <w:r>
              <w:rPr>
                <w:rFonts w:eastAsia="Times New Roman"/>
                <w:b/>
                <w:bCs/>
                <w:sz w:val="22"/>
                <w:szCs w:val="22"/>
              </w:rPr>
              <w:t>A</w:t>
            </w:r>
          </w:p>
        </w:tc>
        <w:tc>
          <w:tcPr>
            <w:tcW w:w="864" w:type="dxa"/>
            <w:shd w:val="clear" w:color="auto" w:fill="D9D9D9" w:themeFill="background1" w:themeFillShade="D9"/>
            <w:vAlign w:val="center"/>
          </w:tcPr>
          <w:p w14:paraId="23A52A51" w14:textId="77777777" w:rsidR="005D7C2C" w:rsidRPr="00534CBE" w:rsidRDefault="005D7C2C" w:rsidP="005D7C2C">
            <w:pPr>
              <w:overflowPunct w:val="0"/>
              <w:autoSpaceDE w:val="0"/>
              <w:autoSpaceDN w:val="0"/>
              <w:adjustRightInd w:val="0"/>
              <w:ind w:left="-140" w:right="-131"/>
              <w:jc w:val="center"/>
              <w:textAlignment w:val="baseline"/>
              <w:rPr>
                <w:rFonts w:eastAsia="Times New Roman"/>
                <w:b/>
                <w:bCs/>
                <w:sz w:val="22"/>
                <w:szCs w:val="22"/>
              </w:rPr>
            </w:pPr>
            <w:r w:rsidRPr="00534CBE">
              <w:rPr>
                <w:rFonts w:eastAsia="Times New Roman"/>
                <w:b/>
                <w:bCs/>
                <w:sz w:val="22"/>
                <w:szCs w:val="22"/>
              </w:rPr>
              <w:t>BA</w:t>
            </w:r>
            <w:r>
              <w:rPr>
                <w:rFonts w:eastAsia="Times New Roman"/>
                <w:b/>
                <w:bCs/>
                <w:sz w:val="22"/>
                <w:szCs w:val="22"/>
              </w:rPr>
              <w:t xml:space="preserve"> </w:t>
            </w:r>
            <w:r w:rsidRPr="00534CBE">
              <w:rPr>
                <w:rFonts w:eastAsia="Times New Roman"/>
                <w:b/>
                <w:bCs/>
                <w:sz w:val="22"/>
                <w:szCs w:val="22"/>
              </w:rPr>
              <w:t>Std</w:t>
            </w:r>
          </w:p>
        </w:tc>
        <w:tc>
          <w:tcPr>
            <w:tcW w:w="769" w:type="dxa"/>
            <w:shd w:val="clear" w:color="auto" w:fill="D9D9D9" w:themeFill="background1" w:themeFillShade="D9"/>
            <w:vAlign w:val="center"/>
          </w:tcPr>
          <w:p w14:paraId="12552C3C" w14:textId="77777777" w:rsidR="005D7C2C" w:rsidRPr="00534CBE" w:rsidRDefault="005D7C2C" w:rsidP="005D7C2C">
            <w:pPr>
              <w:overflowPunct w:val="0"/>
              <w:autoSpaceDE w:val="0"/>
              <w:autoSpaceDN w:val="0"/>
              <w:adjustRightInd w:val="0"/>
              <w:ind w:left="-108" w:right="-131"/>
              <w:jc w:val="center"/>
              <w:textAlignment w:val="baseline"/>
              <w:rPr>
                <w:rFonts w:eastAsia="Times New Roman"/>
                <w:b/>
                <w:bCs/>
                <w:sz w:val="22"/>
                <w:szCs w:val="22"/>
              </w:rPr>
            </w:pPr>
            <w:r w:rsidRPr="00534CBE">
              <w:rPr>
                <w:rFonts w:eastAsia="Times New Roman"/>
                <w:b/>
                <w:bCs/>
                <w:sz w:val="22"/>
                <w:szCs w:val="22"/>
              </w:rPr>
              <w:t>RTSH</w:t>
            </w:r>
          </w:p>
        </w:tc>
        <w:tc>
          <w:tcPr>
            <w:tcW w:w="997" w:type="dxa"/>
            <w:shd w:val="clear" w:color="auto" w:fill="D9D9D9" w:themeFill="background1" w:themeFillShade="D9"/>
            <w:vAlign w:val="center"/>
          </w:tcPr>
          <w:p w14:paraId="688EC639" w14:textId="77777777" w:rsidR="005D7C2C" w:rsidRPr="00534CBE" w:rsidRDefault="005D7C2C" w:rsidP="005D7C2C">
            <w:pPr>
              <w:overflowPunct w:val="0"/>
              <w:autoSpaceDE w:val="0"/>
              <w:autoSpaceDN w:val="0"/>
              <w:adjustRightInd w:val="0"/>
              <w:ind w:left="-108" w:right="-86"/>
              <w:jc w:val="center"/>
              <w:textAlignment w:val="baseline"/>
              <w:rPr>
                <w:rFonts w:eastAsia="Times New Roman"/>
                <w:b/>
                <w:bCs/>
                <w:sz w:val="22"/>
                <w:szCs w:val="22"/>
              </w:rPr>
            </w:pPr>
            <w:r w:rsidRPr="00534CBE">
              <w:rPr>
                <w:rFonts w:eastAsia="Times New Roman"/>
                <w:b/>
                <w:bCs/>
                <w:sz w:val="22"/>
                <w:szCs w:val="22"/>
              </w:rPr>
              <w:t>RTSH</w:t>
            </w:r>
            <w:r>
              <w:rPr>
                <w:rFonts w:eastAsia="Times New Roman"/>
                <w:b/>
                <w:bCs/>
                <w:sz w:val="22"/>
                <w:szCs w:val="22"/>
              </w:rPr>
              <w:t xml:space="preserve"> </w:t>
            </w:r>
            <w:r w:rsidRPr="00534CBE">
              <w:rPr>
                <w:rFonts w:eastAsia="Times New Roman"/>
                <w:b/>
                <w:bCs/>
                <w:sz w:val="22"/>
                <w:szCs w:val="22"/>
              </w:rPr>
              <w:t>Std</w:t>
            </w:r>
          </w:p>
        </w:tc>
      </w:tr>
      <w:tr w:rsidR="005D7C2C" w:rsidRPr="00534CBE" w14:paraId="29CB9EDF" w14:textId="77777777" w:rsidTr="00E57698">
        <w:trPr>
          <w:trHeight w:val="254"/>
        </w:trPr>
        <w:tc>
          <w:tcPr>
            <w:tcW w:w="1920" w:type="dxa"/>
            <w:shd w:val="clear" w:color="auto" w:fill="auto"/>
            <w:vAlign w:val="center"/>
          </w:tcPr>
          <w:p w14:paraId="1D61E9E5" w14:textId="7AB70070" w:rsidR="005D7C2C" w:rsidRPr="005F1D84" w:rsidRDefault="00BA4580" w:rsidP="005D7C2C">
            <w:pPr>
              <w:tabs>
                <w:tab w:val="left" w:pos="720"/>
              </w:tabs>
              <w:overflowPunct w:val="0"/>
              <w:autoSpaceDE w:val="0"/>
              <w:autoSpaceDN w:val="0"/>
              <w:adjustRightInd w:val="0"/>
              <w:ind w:left="0"/>
              <w:textAlignment w:val="baseline"/>
              <w:rPr>
                <w:rFonts w:eastAsia="Times New Roman"/>
                <w:bCs/>
                <w:sz w:val="22"/>
                <w:szCs w:val="22"/>
              </w:rPr>
            </w:pPr>
            <w:r w:rsidRPr="005F1D84">
              <w:rPr>
                <w:rFonts w:eastAsia="Times New Roman"/>
                <w:bCs/>
                <w:sz w:val="22"/>
                <w:szCs w:val="22"/>
              </w:rPr>
              <w:t>Target Spring</w:t>
            </w:r>
            <w:r>
              <w:rPr>
                <w:rFonts w:eastAsia="Times New Roman"/>
                <w:bCs/>
                <w:sz w:val="22"/>
                <w:szCs w:val="22"/>
              </w:rPr>
              <w:t xml:space="preserve"> pasture-</w:t>
            </w:r>
            <w:r w:rsidRPr="005F1D84">
              <w:rPr>
                <w:rFonts w:eastAsia="Times New Roman"/>
                <w:bCs/>
                <w:sz w:val="22"/>
                <w:szCs w:val="22"/>
              </w:rPr>
              <w:t xml:space="preserve"> </w:t>
            </w:r>
            <w:r>
              <w:rPr>
                <w:rFonts w:eastAsia="Times New Roman"/>
                <w:bCs/>
                <w:sz w:val="22"/>
                <w:szCs w:val="22"/>
              </w:rPr>
              <w:t>lower Carrol Creek monitoring area</w:t>
            </w:r>
          </w:p>
        </w:tc>
        <w:tc>
          <w:tcPr>
            <w:tcW w:w="7430" w:type="dxa"/>
            <w:gridSpan w:val="9"/>
            <w:shd w:val="clear" w:color="auto" w:fill="auto"/>
          </w:tcPr>
          <w:p w14:paraId="5056B787" w14:textId="1F5D6944" w:rsidR="005D7C2C" w:rsidRPr="00534CBE" w:rsidRDefault="005D7C2C" w:rsidP="00055838">
            <w:pPr>
              <w:tabs>
                <w:tab w:val="left" w:pos="720"/>
              </w:tabs>
              <w:overflowPunct w:val="0"/>
              <w:autoSpaceDE w:val="0"/>
              <w:autoSpaceDN w:val="0"/>
              <w:adjustRightInd w:val="0"/>
              <w:ind w:left="0"/>
              <w:textAlignment w:val="baseline"/>
              <w:rPr>
                <w:rFonts w:eastAsia="Times New Roman"/>
                <w:bCs/>
                <w:sz w:val="22"/>
                <w:szCs w:val="22"/>
              </w:rPr>
            </w:pPr>
            <w:r w:rsidRPr="00534CBE">
              <w:rPr>
                <w:rFonts w:eastAsia="Times New Roman"/>
                <w:bCs/>
                <w:sz w:val="22"/>
                <w:szCs w:val="22"/>
              </w:rPr>
              <w:t xml:space="preserve">Fence </w:t>
            </w:r>
            <w:r w:rsidR="00055838">
              <w:rPr>
                <w:rFonts w:eastAsia="Times New Roman"/>
                <w:bCs/>
                <w:sz w:val="22"/>
                <w:szCs w:val="22"/>
              </w:rPr>
              <w:t>has been constructed</w:t>
            </w:r>
            <w:r w:rsidRPr="00534CBE">
              <w:rPr>
                <w:rFonts w:eastAsia="Times New Roman"/>
                <w:bCs/>
                <w:sz w:val="22"/>
                <w:szCs w:val="22"/>
              </w:rPr>
              <w:t xml:space="preserve"> </w:t>
            </w:r>
            <w:r w:rsidR="00055838">
              <w:rPr>
                <w:rFonts w:eastAsia="Times New Roman"/>
                <w:bCs/>
                <w:sz w:val="22"/>
                <w:szCs w:val="22"/>
              </w:rPr>
              <w:t xml:space="preserve">to enclose the spawning habitat </w:t>
            </w:r>
            <w:r w:rsidR="002C4D4B">
              <w:rPr>
                <w:rFonts w:eastAsia="Times New Roman"/>
                <w:bCs/>
                <w:sz w:val="22"/>
                <w:szCs w:val="22"/>
              </w:rPr>
              <w:t>of</w:t>
            </w:r>
            <w:r w:rsidR="00055838">
              <w:rPr>
                <w:rFonts w:eastAsia="Times New Roman"/>
                <w:bCs/>
                <w:sz w:val="22"/>
                <w:szCs w:val="22"/>
              </w:rPr>
              <w:t xml:space="preserve"> Carrol Creek that is within the Divide Allotment.  This fence was completed in 2018.</w:t>
            </w:r>
          </w:p>
        </w:tc>
      </w:tr>
      <w:tr w:rsidR="00025832" w:rsidRPr="00534CBE" w14:paraId="44E1EDF5" w14:textId="77777777" w:rsidTr="00E57698">
        <w:trPr>
          <w:trHeight w:val="254"/>
        </w:trPr>
        <w:tc>
          <w:tcPr>
            <w:tcW w:w="1920" w:type="dxa"/>
            <w:shd w:val="clear" w:color="auto" w:fill="auto"/>
          </w:tcPr>
          <w:p w14:paraId="75E992AC" w14:textId="77777777" w:rsidR="00025832" w:rsidRPr="00C77CB6" w:rsidRDefault="00025832" w:rsidP="00025832">
            <w:pPr>
              <w:tabs>
                <w:tab w:val="left" w:pos="720"/>
              </w:tabs>
              <w:overflowPunct w:val="0"/>
              <w:autoSpaceDE w:val="0"/>
              <w:autoSpaceDN w:val="0"/>
              <w:adjustRightInd w:val="0"/>
              <w:ind w:left="0"/>
              <w:textAlignment w:val="baseline"/>
              <w:rPr>
                <w:rFonts w:eastAsia="Times New Roman"/>
                <w:bCs/>
              </w:rPr>
            </w:pPr>
            <w:r w:rsidRPr="00C77CB6">
              <w:rPr>
                <w:rFonts w:eastAsia="Times New Roman"/>
                <w:bCs/>
              </w:rPr>
              <w:t>South Target</w:t>
            </w:r>
          </w:p>
          <w:p w14:paraId="0E54DB7A" w14:textId="07393CBD" w:rsidR="00025832" w:rsidRPr="005F1D84" w:rsidRDefault="00025832" w:rsidP="00025832">
            <w:pPr>
              <w:tabs>
                <w:tab w:val="left" w:pos="720"/>
              </w:tabs>
              <w:overflowPunct w:val="0"/>
              <w:autoSpaceDE w:val="0"/>
              <w:autoSpaceDN w:val="0"/>
              <w:adjustRightInd w:val="0"/>
              <w:ind w:left="0"/>
              <w:textAlignment w:val="baseline"/>
              <w:rPr>
                <w:rFonts w:eastAsia="Times New Roman"/>
                <w:bCs/>
                <w:sz w:val="22"/>
                <w:szCs w:val="22"/>
              </w:rPr>
            </w:pPr>
            <w:r w:rsidRPr="00C77CB6">
              <w:rPr>
                <w:rFonts w:eastAsia="Times New Roman"/>
                <w:bCs/>
              </w:rPr>
              <w:t>K3A  Riparian</w:t>
            </w:r>
            <w:r w:rsidR="000B1395">
              <w:rPr>
                <w:rFonts w:eastAsia="Times New Roman"/>
                <w:bCs/>
              </w:rPr>
              <w:t xml:space="preserve"> </w:t>
            </w:r>
            <w:r w:rsidR="000B1395">
              <w:rPr>
                <w:rFonts w:eastAsia="Times New Roman"/>
                <w:bCs/>
                <w:sz w:val="22"/>
                <w:szCs w:val="22"/>
              </w:rPr>
              <w:t>monitoring area</w:t>
            </w:r>
          </w:p>
        </w:tc>
        <w:tc>
          <w:tcPr>
            <w:tcW w:w="7430" w:type="dxa"/>
            <w:gridSpan w:val="9"/>
            <w:shd w:val="clear" w:color="auto" w:fill="auto"/>
            <w:vAlign w:val="center"/>
          </w:tcPr>
          <w:p w14:paraId="3C3E80DA" w14:textId="490459C2" w:rsidR="00025832" w:rsidRPr="00534CBE" w:rsidRDefault="00055838" w:rsidP="00025832">
            <w:pPr>
              <w:tabs>
                <w:tab w:val="left" w:pos="720"/>
              </w:tabs>
              <w:overflowPunct w:val="0"/>
              <w:autoSpaceDE w:val="0"/>
              <w:autoSpaceDN w:val="0"/>
              <w:adjustRightInd w:val="0"/>
              <w:ind w:left="0"/>
              <w:textAlignment w:val="baseline"/>
              <w:rPr>
                <w:rFonts w:eastAsia="Times New Roman"/>
                <w:bCs/>
                <w:sz w:val="22"/>
                <w:szCs w:val="22"/>
              </w:rPr>
            </w:pPr>
            <w:r w:rsidRPr="00534CBE">
              <w:rPr>
                <w:rFonts w:eastAsia="Times New Roman"/>
                <w:bCs/>
                <w:sz w:val="22"/>
                <w:szCs w:val="22"/>
              </w:rPr>
              <w:t xml:space="preserve">Fence </w:t>
            </w:r>
            <w:r>
              <w:rPr>
                <w:rFonts w:eastAsia="Times New Roman"/>
                <w:bCs/>
                <w:sz w:val="22"/>
                <w:szCs w:val="22"/>
              </w:rPr>
              <w:t>has been constructed</w:t>
            </w:r>
            <w:r w:rsidRPr="00534CBE">
              <w:rPr>
                <w:rFonts w:eastAsia="Times New Roman"/>
                <w:bCs/>
                <w:sz w:val="22"/>
                <w:szCs w:val="22"/>
              </w:rPr>
              <w:t xml:space="preserve"> </w:t>
            </w:r>
            <w:r>
              <w:rPr>
                <w:rFonts w:eastAsia="Times New Roman"/>
                <w:bCs/>
                <w:sz w:val="22"/>
                <w:szCs w:val="22"/>
              </w:rPr>
              <w:t xml:space="preserve">to enclose the spawning habitat </w:t>
            </w:r>
            <w:r w:rsidR="002C4D4B">
              <w:rPr>
                <w:rFonts w:eastAsia="Times New Roman"/>
                <w:bCs/>
                <w:sz w:val="22"/>
                <w:szCs w:val="22"/>
              </w:rPr>
              <w:t>of</w:t>
            </w:r>
            <w:r>
              <w:rPr>
                <w:rFonts w:eastAsia="Times New Roman"/>
                <w:bCs/>
                <w:sz w:val="22"/>
                <w:szCs w:val="22"/>
              </w:rPr>
              <w:t xml:space="preserve"> Carrol Creek that is within the Divide Allotment.  This fence was completed in 2018.</w:t>
            </w:r>
          </w:p>
        </w:tc>
      </w:tr>
    </w:tbl>
    <w:p w14:paraId="5F9268E8" w14:textId="77777777" w:rsidR="005D7C2C" w:rsidRPr="005D7C2C" w:rsidRDefault="005D7C2C" w:rsidP="005D7C2C">
      <w:pPr>
        <w:ind w:left="0"/>
        <w:rPr>
          <w:sz w:val="16"/>
          <w:szCs w:val="16"/>
        </w:rPr>
      </w:pPr>
      <w:r w:rsidRPr="005D7C2C">
        <w:rPr>
          <w:sz w:val="16"/>
          <w:szCs w:val="16"/>
        </w:rPr>
        <w:t>*Woody browse not available for grazing or is not present</w:t>
      </w:r>
    </w:p>
    <w:p w14:paraId="0ECF672C" w14:textId="1C840B32" w:rsidR="005D7C2C" w:rsidRPr="005D7C2C" w:rsidRDefault="005D7C2C" w:rsidP="005D7C2C">
      <w:pPr>
        <w:ind w:left="0"/>
        <w:rPr>
          <w:sz w:val="16"/>
          <w:szCs w:val="16"/>
        </w:rPr>
      </w:pPr>
      <w:r w:rsidRPr="005D7C2C">
        <w:rPr>
          <w:sz w:val="16"/>
          <w:szCs w:val="16"/>
        </w:rPr>
        <w:t xml:space="preserve">GLSH: green line </w:t>
      </w:r>
      <w:r w:rsidR="002C4D4B" w:rsidRPr="005D7C2C">
        <w:rPr>
          <w:sz w:val="16"/>
          <w:szCs w:val="16"/>
        </w:rPr>
        <w:t>stubble height</w:t>
      </w:r>
    </w:p>
    <w:p w14:paraId="45B5C31F" w14:textId="77777777" w:rsidR="005D7C2C" w:rsidRPr="005D7C2C" w:rsidRDefault="005D7C2C" w:rsidP="005D7C2C">
      <w:pPr>
        <w:ind w:left="0"/>
        <w:rPr>
          <w:sz w:val="16"/>
          <w:szCs w:val="16"/>
        </w:rPr>
      </w:pPr>
      <w:r w:rsidRPr="005D7C2C">
        <w:rPr>
          <w:sz w:val="16"/>
          <w:szCs w:val="16"/>
        </w:rPr>
        <w:t xml:space="preserve">Std: </w:t>
      </w:r>
      <w:r>
        <w:rPr>
          <w:sz w:val="16"/>
          <w:szCs w:val="16"/>
        </w:rPr>
        <w:t>Utilization S</w:t>
      </w:r>
      <w:r w:rsidRPr="005D7C2C">
        <w:rPr>
          <w:sz w:val="16"/>
          <w:szCs w:val="16"/>
        </w:rPr>
        <w:t>tandard</w:t>
      </w:r>
    </w:p>
    <w:p w14:paraId="690B68AE" w14:textId="77777777" w:rsidR="005D7C2C" w:rsidRPr="005D7C2C" w:rsidRDefault="005D7C2C" w:rsidP="005D7C2C">
      <w:pPr>
        <w:ind w:left="0"/>
        <w:rPr>
          <w:sz w:val="16"/>
          <w:szCs w:val="16"/>
        </w:rPr>
      </w:pPr>
      <w:r w:rsidRPr="005D7C2C">
        <w:rPr>
          <w:sz w:val="16"/>
          <w:szCs w:val="16"/>
        </w:rPr>
        <w:t>WB%: woody browse percent utilization</w:t>
      </w:r>
    </w:p>
    <w:p w14:paraId="75BBD50B" w14:textId="77777777" w:rsidR="005D7C2C" w:rsidRPr="005D7C2C" w:rsidRDefault="005D7C2C" w:rsidP="005D7C2C">
      <w:pPr>
        <w:ind w:left="0"/>
        <w:rPr>
          <w:sz w:val="16"/>
          <w:szCs w:val="16"/>
        </w:rPr>
      </w:pPr>
      <w:r w:rsidRPr="005D7C2C">
        <w:rPr>
          <w:sz w:val="16"/>
          <w:szCs w:val="16"/>
        </w:rPr>
        <w:t>BA: bank alteration</w:t>
      </w:r>
    </w:p>
    <w:p w14:paraId="41E8EE2C" w14:textId="77777777" w:rsidR="005D7C2C" w:rsidRDefault="005D7C2C" w:rsidP="005D7C2C">
      <w:pPr>
        <w:ind w:left="0"/>
        <w:rPr>
          <w:sz w:val="16"/>
          <w:szCs w:val="16"/>
        </w:rPr>
      </w:pPr>
      <w:r w:rsidRPr="005D7C2C">
        <w:rPr>
          <w:sz w:val="16"/>
          <w:szCs w:val="16"/>
        </w:rPr>
        <w:t>RTSH: riparian terrace stubble height</w:t>
      </w:r>
    </w:p>
    <w:p w14:paraId="22B9EC8F" w14:textId="36F012DE" w:rsidR="004A7A38" w:rsidRPr="004A7A38" w:rsidRDefault="004A7A38" w:rsidP="004A7A38">
      <w:pPr>
        <w:ind w:left="0"/>
      </w:pPr>
    </w:p>
    <w:p w14:paraId="527CE25A" w14:textId="5CBEE7B6" w:rsidR="00314770" w:rsidRDefault="00FE4FDA" w:rsidP="005604FD">
      <w:pPr>
        <w:pStyle w:val="ListParagraph"/>
        <w:numPr>
          <w:ilvl w:val="1"/>
          <w:numId w:val="1"/>
        </w:numPr>
        <w:ind w:left="900"/>
      </w:pPr>
      <w:r>
        <w:t xml:space="preserve"> </w:t>
      </w:r>
      <w:r w:rsidR="005D7C2C" w:rsidRPr="005D7C2C">
        <w:t>Review of management and compliance successes and failures.</w:t>
      </w:r>
      <w:r w:rsidR="005D7C2C">
        <w:t xml:space="preserve">  </w:t>
      </w:r>
    </w:p>
    <w:p w14:paraId="0BDD008D" w14:textId="0A1D1CC2" w:rsidR="005D7C2C" w:rsidRDefault="005D7C2C" w:rsidP="005604FD">
      <w:pPr>
        <w:pStyle w:val="ListParagraph"/>
        <w:numPr>
          <w:ilvl w:val="2"/>
          <w:numId w:val="1"/>
        </w:numPr>
        <w:ind w:left="900"/>
      </w:pPr>
      <w:r>
        <w:t xml:space="preserve">The steelhead spawning reaches of Carrol Cr </w:t>
      </w:r>
      <w:r w:rsidR="00233B93">
        <w:t>were</w:t>
      </w:r>
      <w:r>
        <w:t xml:space="preserve"> excluded from grazing in 2018.</w:t>
      </w:r>
      <w:r w:rsidR="001C6E76">
        <w:t xml:space="preserve">  </w:t>
      </w:r>
    </w:p>
    <w:p w14:paraId="025A05EF" w14:textId="77777777" w:rsidR="00FE4FDA" w:rsidRDefault="004A4E54" w:rsidP="005604FD">
      <w:pPr>
        <w:pStyle w:val="ListParagraph"/>
        <w:numPr>
          <w:ilvl w:val="2"/>
          <w:numId w:val="1"/>
        </w:numPr>
        <w:ind w:left="900"/>
      </w:pPr>
      <w:r>
        <w:t xml:space="preserve">In 2020 the fence on the old enclosure failed and allowed cattle to graze within this enclosure for some time in </w:t>
      </w:r>
      <w:r w:rsidR="00192EAA">
        <w:t xml:space="preserve">September.  The cause was deteriorating rock jacks, sinking </w:t>
      </w:r>
      <w:r w:rsidR="00192EAA">
        <w:lastRenderedPageBreak/>
        <w:t xml:space="preserve">t post and a broken gate post allowed cattle into 1 of 3 enclosures. Use within the enclosure exceeded bank alteration and stubble height limits.   </w:t>
      </w:r>
    </w:p>
    <w:p w14:paraId="6E6BA240" w14:textId="52A2415E" w:rsidR="001467A2" w:rsidRDefault="001467A2" w:rsidP="005604FD">
      <w:pPr>
        <w:pStyle w:val="ListParagraph"/>
        <w:numPr>
          <w:ilvl w:val="2"/>
          <w:numId w:val="1"/>
        </w:numPr>
        <w:ind w:left="900"/>
      </w:pPr>
      <w:r>
        <w:t xml:space="preserve">In 2021 the enclosure where excess use occurred in 2020 was reconstructed.  </w:t>
      </w:r>
    </w:p>
    <w:p w14:paraId="7190DEBB" w14:textId="462B229A" w:rsidR="005E1643" w:rsidRDefault="005E1643" w:rsidP="005604FD">
      <w:pPr>
        <w:pStyle w:val="ListParagraph"/>
        <w:numPr>
          <w:ilvl w:val="2"/>
          <w:numId w:val="1"/>
        </w:numPr>
        <w:ind w:left="900"/>
      </w:pPr>
      <w:r>
        <w:t xml:space="preserve">In 2020 The Permittee constructed a fence that divides the allotment into a north and south half of the allotment.  </w:t>
      </w:r>
      <w:r w:rsidR="00DF0F89">
        <w:t>Additional fence was also constructed at the mouth of Salt Creek to distribute cattle back into the Divide Allotment.</w:t>
      </w:r>
    </w:p>
    <w:p w14:paraId="7FDB4861" w14:textId="7CF31E20" w:rsidR="0024568C" w:rsidRDefault="0024568C" w:rsidP="005604FD">
      <w:pPr>
        <w:pStyle w:val="ListParagraph"/>
        <w:numPr>
          <w:ilvl w:val="2"/>
          <w:numId w:val="1"/>
        </w:numPr>
        <w:ind w:left="900"/>
      </w:pPr>
      <w:r>
        <w:t>In 2022 reconstruction of about ½ mile of the south boundary of the allotment fence occurred.</w:t>
      </w:r>
    </w:p>
    <w:p w14:paraId="15D9A380" w14:textId="77777777" w:rsidR="00314770" w:rsidRDefault="005D7C2C" w:rsidP="005604FD">
      <w:pPr>
        <w:pStyle w:val="ListParagraph"/>
        <w:numPr>
          <w:ilvl w:val="1"/>
          <w:numId w:val="1"/>
        </w:numPr>
        <w:ind w:left="900"/>
      </w:pPr>
      <w:r>
        <w:t>Results of implementing and completing long-term trend monitoring using appropriate methodology needed to identify trends for riparian ecosystems on streams containing ESA-listed fish within the allotment.</w:t>
      </w:r>
      <w:r w:rsidR="00614607">
        <w:t xml:space="preserve">  </w:t>
      </w:r>
    </w:p>
    <w:p w14:paraId="37D86AFC" w14:textId="56A16761" w:rsidR="00614607" w:rsidRDefault="00614607" w:rsidP="005604FD">
      <w:pPr>
        <w:pStyle w:val="ListParagraph"/>
        <w:numPr>
          <w:ilvl w:val="2"/>
          <w:numId w:val="1"/>
        </w:numPr>
        <w:ind w:left="900"/>
      </w:pPr>
      <w:r w:rsidRPr="00614607">
        <w:t xml:space="preserve">The steelhead spawning reaches of Carrol Cr </w:t>
      </w:r>
      <w:r w:rsidR="00233B93">
        <w:t>were</w:t>
      </w:r>
      <w:r w:rsidRPr="00614607">
        <w:t xml:space="preserve"> excluded from grazing in 2018.</w:t>
      </w:r>
    </w:p>
    <w:p w14:paraId="719EB773" w14:textId="77777777" w:rsidR="00314770" w:rsidRDefault="00614607" w:rsidP="005604FD">
      <w:pPr>
        <w:pStyle w:val="ListParagraph"/>
        <w:numPr>
          <w:ilvl w:val="1"/>
          <w:numId w:val="1"/>
        </w:numPr>
        <w:ind w:left="900"/>
      </w:pPr>
      <w:r>
        <w:t>Compliance with each pertinent term and condit</w:t>
      </w:r>
      <w:r w:rsidR="00314770">
        <w:t>ion contained in this opinion.</w:t>
      </w:r>
    </w:p>
    <w:p w14:paraId="723899DA" w14:textId="34721C30" w:rsidR="005D7C2C" w:rsidRDefault="00614607" w:rsidP="005604FD">
      <w:pPr>
        <w:pStyle w:val="ListParagraph"/>
        <w:numPr>
          <w:ilvl w:val="2"/>
          <w:numId w:val="1"/>
        </w:numPr>
        <w:ind w:left="900"/>
      </w:pPr>
      <w:r w:rsidRPr="00614607">
        <w:t xml:space="preserve">The steelhead spawning reaches of Carrol Cr </w:t>
      </w:r>
      <w:r w:rsidR="00233B93">
        <w:t>were</w:t>
      </w:r>
      <w:r w:rsidRPr="00614607">
        <w:t xml:space="preserve"> excluded from grazing in 2018.</w:t>
      </w:r>
    </w:p>
    <w:p w14:paraId="48D5EC22" w14:textId="77777777" w:rsidR="00314770" w:rsidRDefault="00614607" w:rsidP="005604FD">
      <w:pPr>
        <w:pStyle w:val="ListParagraph"/>
        <w:numPr>
          <w:ilvl w:val="1"/>
          <w:numId w:val="1"/>
        </w:numPr>
        <w:ind w:left="900"/>
      </w:pPr>
      <w:r>
        <w:t>Review of adequacy of monitoring program for determining</w:t>
      </w:r>
      <w:r w:rsidR="00314770">
        <w:t xml:space="preserve"> habitat condition and trends.</w:t>
      </w:r>
    </w:p>
    <w:p w14:paraId="636A8976" w14:textId="0C79B378" w:rsidR="00614607" w:rsidRDefault="00614607" w:rsidP="005604FD">
      <w:pPr>
        <w:pStyle w:val="ListParagraph"/>
        <w:numPr>
          <w:ilvl w:val="2"/>
          <w:numId w:val="1"/>
        </w:numPr>
        <w:ind w:left="900"/>
      </w:pPr>
      <w:r w:rsidRPr="00614607">
        <w:t xml:space="preserve">The steelhead spawning reaches of Carrol Cr </w:t>
      </w:r>
      <w:r w:rsidR="00233B93">
        <w:t>were</w:t>
      </w:r>
      <w:r w:rsidRPr="00614607">
        <w:t xml:space="preserve"> excluded from grazing in 2018.</w:t>
      </w:r>
    </w:p>
    <w:p w14:paraId="394530D6" w14:textId="34DA7155" w:rsidR="001C6E76" w:rsidRDefault="00614607" w:rsidP="005604FD">
      <w:pPr>
        <w:pStyle w:val="ListParagraph"/>
        <w:numPr>
          <w:ilvl w:val="1"/>
          <w:numId w:val="1"/>
        </w:numPr>
        <w:ind w:left="900"/>
      </w:pPr>
      <w:r w:rsidRPr="00614607">
        <w:t>Management recommendations for subsequent years.</w:t>
      </w:r>
      <w:r>
        <w:t xml:space="preserve">  </w:t>
      </w:r>
    </w:p>
    <w:p w14:paraId="3B3A9662" w14:textId="01EB6E81" w:rsidR="004A4E54" w:rsidRDefault="00B40E93" w:rsidP="005604FD">
      <w:pPr>
        <w:pStyle w:val="ListParagraph"/>
        <w:numPr>
          <w:ilvl w:val="0"/>
          <w:numId w:val="6"/>
        </w:numPr>
        <w:ind w:left="900"/>
      </w:pPr>
      <w:r>
        <w:t xml:space="preserve">Continue fence maintenance and reconstruction and to manage grazing on the allotment based on use and monitoring.  </w:t>
      </w:r>
    </w:p>
    <w:p w14:paraId="558EB1E5" w14:textId="2297EBFE" w:rsidR="00314770" w:rsidRDefault="00614607" w:rsidP="005604FD">
      <w:pPr>
        <w:pStyle w:val="ListParagraph"/>
        <w:numPr>
          <w:ilvl w:val="1"/>
          <w:numId w:val="1"/>
        </w:numPr>
        <w:ind w:left="900"/>
      </w:pPr>
      <w:r w:rsidRPr="00614607">
        <w:t>Multiple Indicator Monitoring data, including stream bank alteration.</w:t>
      </w:r>
    </w:p>
    <w:p w14:paraId="58C1F927" w14:textId="6292DF18" w:rsidR="00592028" w:rsidRPr="00411B6B" w:rsidRDefault="00614607" w:rsidP="005604FD">
      <w:pPr>
        <w:pStyle w:val="ListParagraph"/>
        <w:numPr>
          <w:ilvl w:val="0"/>
          <w:numId w:val="6"/>
        </w:numPr>
        <w:ind w:left="900"/>
      </w:pPr>
      <w:r>
        <w:t xml:space="preserve">See Table 2.    </w:t>
      </w:r>
      <w:r w:rsidRPr="00614607">
        <w:t xml:space="preserve">The steelhead spawning reaches of Carrol Cr </w:t>
      </w:r>
      <w:r w:rsidR="00233B93">
        <w:t>were</w:t>
      </w:r>
      <w:r w:rsidRPr="00614607">
        <w:t xml:space="preserve"> excluded from grazing in 2018.</w:t>
      </w:r>
      <w:bookmarkEnd w:id="2"/>
    </w:p>
    <w:sectPr w:rsidR="00592028" w:rsidRPr="00411B6B" w:rsidSect="00064690">
      <w:footerReference w:type="default" r:id="rId8"/>
      <w:pgSz w:w="12240" w:h="15840" w:code="1"/>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832E" w14:textId="77777777" w:rsidR="00FB6BB1" w:rsidRDefault="00FB6BB1" w:rsidP="00B26E95">
      <w:r>
        <w:separator/>
      </w:r>
    </w:p>
  </w:endnote>
  <w:endnote w:type="continuationSeparator" w:id="0">
    <w:p w14:paraId="564DC145" w14:textId="77777777" w:rsidR="00FB6BB1" w:rsidRDefault="00FB6BB1" w:rsidP="00B2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4D36" w14:textId="78E22ACB" w:rsidR="005D7C2C" w:rsidRPr="00B3225E" w:rsidRDefault="005D7C2C" w:rsidP="00B26E95">
    <w:pPr>
      <w:pStyle w:val="Footer"/>
      <w:rPr>
        <w:rFonts w:asciiTheme="minorHAnsi" w:hAnsiTheme="minorHAnsi"/>
      </w:rPr>
    </w:pPr>
    <w:r w:rsidRPr="00B3225E">
      <w:rPr>
        <w:rFonts w:asciiTheme="minorHAnsi" w:hAnsiTheme="minorHAnsi"/>
      </w:rPr>
      <w:ptab w:relativeTo="margin" w:alignment="right" w:leader="none"/>
    </w:r>
    <w:r w:rsidRPr="00B3225E">
      <w:rPr>
        <w:rFonts w:asciiTheme="minorHAnsi" w:hAnsiTheme="minorHAnsi"/>
      </w:rPr>
      <w:fldChar w:fldCharType="begin"/>
    </w:r>
    <w:r w:rsidRPr="00B3225E">
      <w:rPr>
        <w:rFonts w:asciiTheme="minorHAnsi" w:hAnsiTheme="minorHAnsi"/>
      </w:rPr>
      <w:instrText xml:space="preserve"> PAGE   \* MERGEFORMAT </w:instrText>
    </w:r>
    <w:r w:rsidRPr="00B3225E">
      <w:rPr>
        <w:rFonts w:asciiTheme="minorHAnsi" w:hAnsiTheme="minorHAnsi"/>
      </w:rPr>
      <w:fldChar w:fldCharType="separate"/>
    </w:r>
    <w:r w:rsidR="004C4E5C">
      <w:rPr>
        <w:rFonts w:asciiTheme="minorHAnsi" w:hAnsiTheme="minorHAnsi"/>
        <w:noProof/>
      </w:rPr>
      <w:t>3</w:t>
    </w:r>
    <w:r w:rsidRPr="00B3225E">
      <w:rPr>
        <w:rFonts w:asciiTheme="minorHAnsi" w:hAnsiTheme="minorHAnsi"/>
        <w:noProof/>
      </w:rPr>
      <w:fldChar w:fldCharType="end"/>
    </w:r>
  </w:p>
  <w:p w14:paraId="44C3E390" w14:textId="77777777" w:rsidR="005D7C2C" w:rsidRDefault="005D7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94E6" w14:textId="77777777" w:rsidR="00FB6BB1" w:rsidRDefault="00FB6BB1" w:rsidP="00B26E95">
      <w:r>
        <w:separator/>
      </w:r>
    </w:p>
  </w:footnote>
  <w:footnote w:type="continuationSeparator" w:id="0">
    <w:p w14:paraId="2152710B" w14:textId="77777777" w:rsidR="00FB6BB1" w:rsidRDefault="00FB6BB1" w:rsidP="00B2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24D0"/>
    <w:multiLevelType w:val="hybridMultilevel"/>
    <w:tmpl w:val="86D89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BC51BD"/>
    <w:multiLevelType w:val="hybridMultilevel"/>
    <w:tmpl w:val="6B644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765876F2">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12A2C"/>
    <w:multiLevelType w:val="hybridMultilevel"/>
    <w:tmpl w:val="D468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F687D"/>
    <w:multiLevelType w:val="hybridMultilevel"/>
    <w:tmpl w:val="14F685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9AC0F04"/>
    <w:multiLevelType w:val="hybridMultilevel"/>
    <w:tmpl w:val="0E042D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7C841BA3"/>
    <w:multiLevelType w:val="hybridMultilevel"/>
    <w:tmpl w:val="059802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636937">
    <w:abstractNumId w:val="1"/>
  </w:num>
  <w:num w:numId="2" w16cid:durableId="88431016">
    <w:abstractNumId w:val="5"/>
  </w:num>
  <w:num w:numId="3" w16cid:durableId="1171876117">
    <w:abstractNumId w:val="2"/>
  </w:num>
  <w:num w:numId="4" w16cid:durableId="1994605618">
    <w:abstractNumId w:val="0"/>
  </w:num>
  <w:num w:numId="5" w16cid:durableId="2020154941">
    <w:abstractNumId w:val="4"/>
  </w:num>
  <w:num w:numId="6" w16cid:durableId="60804646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C5"/>
    <w:rsid w:val="00002787"/>
    <w:rsid w:val="00004E37"/>
    <w:rsid w:val="00020E30"/>
    <w:rsid w:val="00025832"/>
    <w:rsid w:val="00025A1D"/>
    <w:rsid w:val="0004016B"/>
    <w:rsid w:val="000429EE"/>
    <w:rsid w:val="00043802"/>
    <w:rsid w:val="00053E33"/>
    <w:rsid w:val="00055838"/>
    <w:rsid w:val="00060894"/>
    <w:rsid w:val="00064690"/>
    <w:rsid w:val="000658ED"/>
    <w:rsid w:val="00067395"/>
    <w:rsid w:val="00067797"/>
    <w:rsid w:val="0006798C"/>
    <w:rsid w:val="00067DEB"/>
    <w:rsid w:val="00071D53"/>
    <w:rsid w:val="00074D8A"/>
    <w:rsid w:val="000774E0"/>
    <w:rsid w:val="00085FF5"/>
    <w:rsid w:val="000918DA"/>
    <w:rsid w:val="000A6AAB"/>
    <w:rsid w:val="000B1395"/>
    <w:rsid w:val="000B2F89"/>
    <w:rsid w:val="000C0364"/>
    <w:rsid w:val="000C037E"/>
    <w:rsid w:val="000D197C"/>
    <w:rsid w:val="0012141E"/>
    <w:rsid w:val="00125766"/>
    <w:rsid w:val="00144F8B"/>
    <w:rsid w:val="001467A2"/>
    <w:rsid w:val="00150490"/>
    <w:rsid w:val="001555BA"/>
    <w:rsid w:val="001640BC"/>
    <w:rsid w:val="001656D5"/>
    <w:rsid w:val="0016701D"/>
    <w:rsid w:val="00182DA4"/>
    <w:rsid w:val="0018485B"/>
    <w:rsid w:val="00186F77"/>
    <w:rsid w:val="00190E33"/>
    <w:rsid w:val="00192EAA"/>
    <w:rsid w:val="001A2917"/>
    <w:rsid w:val="001C4B3E"/>
    <w:rsid w:val="001C6E76"/>
    <w:rsid w:val="001E5B50"/>
    <w:rsid w:val="001E6DB3"/>
    <w:rsid w:val="001F5246"/>
    <w:rsid w:val="00202F2F"/>
    <w:rsid w:val="00204BBE"/>
    <w:rsid w:val="00220B28"/>
    <w:rsid w:val="002218F0"/>
    <w:rsid w:val="00222C76"/>
    <w:rsid w:val="002249A1"/>
    <w:rsid w:val="00225FD8"/>
    <w:rsid w:val="00233B93"/>
    <w:rsid w:val="0024568C"/>
    <w:rsid w:val="00254C38"/>
    <w:rsid w:val="00255DB9"/>
    <w:rsid w:val="00256D74"/>
    <w:rsid w:val="002664C6"/>
    <w:rsid w:val="00284FDF"/>
    <w:rsid w:val="0029552D"/>
    <w:rsid w:val="002A2CB4"/>
    <w:rsid w:val="002A5A6C"/>
    <w:rsid w:val="002A6DEF"/>
    <w:rsid w:val="002B622C"/>
    <w:rsid w:val="002C4D4B"/>
    <w:rsid w:val="002D4F22"/>
    <w:rsid w:val="002E0ADC"/>
    <w:rsid w:val="002E291B"/>
    <w:rsid w:val="002F69D3"/>
    <w:rsid w:val="003000F6"/>
    <w:rsid w:val="00301BB6"/>
    <w:rsid w:val="00310B7A"/>
    <w:rsid w:val="00314770"/>
    <w:rsid w:val="00321AAB"/>
    <w:rsid w:val="00326DDB"/>
    <w:rsid w:val="00331021"/>
    <w:rsid w:val="0035091E"/>
    <w:rsid w:val="00352CDD"/>
    <w:rsid w:val="00367EE7"/>
    <w:rsid w:val="003860DC"/>
    <w:rsid w:val="00396367"/>
    <w:rsid w:val="003972D2"/>
    <w:rsid w:val="003A5405"/>
    <w:rsid w:val="003A6399"/>
    <w:rsid w:val="003A6E75"/>
    <w:rsid w:val="003B7DCC"/>
    <w:rsid w:val="003C3209"/>
    <w:rsid w:val="003C7300"/>
    <w:rsid w:val="003D4C4C"/>
    <w:rsid w:val="003E3C8B"/>
    <w:rsid w:val="003F083E"/>
    <w:rsid w:val="003F344E"/>
    <w:rsid w:val="003F4420"/>
    <w:rsid w:val="003F6CF0"/>
    <w:rsid w:val="0040178F"/>
    <w:rsid w:val="00405F31"/>
    <w:rsid w:val="00411B6B"/>
    <w:rsid w:val="00434811"/>
    <w:rsid w:val="00437249"/>
    <w:rsid w:val="00445393"/>
    <w:rsid w:val="00451042"/>
    <w:rsid w:val="00461F1A"/>
    <w:rsid w:val="00464A77"/>
    <w:rsid w:val="00465233"/>
    <w:rsid w:val="00466A44"/>
    <w:rsid w:val="004A4E54"/>
    <w:rsid w:val="004A7A38"/>
    <w:rsid w:val="004B166C"/>
    <w:rsid w:val="004B4D82"/>
    <w:rsid w:val="004C4E5C"/>
    <w:rsid w:val="004D6B16"/>
    <w:rsid w:val="004E3E52"/>
    <w:rsid w:val="004E4F05"/>
    <w:rsid w:val="004F414D"/>
    <w:rsid w:val="00503140"/>
    <w:rsid w:val="00513324"/>
    <w:rsid w:val="00520ED4"/>
    <w:rsid w:val="005217A4"/>
    <w:rsid w:val="0052244D"/>
    <w:rsid w:val="005308EB"/>
    <w:rsid w:val="005328C5"/>
    <w:rsid w:val="00534CBE"/>
    <w:rsid w:val="00536750"/>
    <w:rsid w:val="005604FD"/>
    <w:rsid w:val="005647D5"/>
    <w:rsid w:val="00570C6A"/>
    <w:rsid w:val="005756E4"/>
    <w:rsid w:val="00575A19"/>
    <w:rsid w:val="0057686A"/>
    <w:rsid w:val="00577107"/>
    <w:rsid w:val="00584125"/>
    <w:rsid w:val="00592028"/>
    <w:rsid w:val="005967F3"/>
    <w:rsid w:val="005A0263"/>
    <w:rsid w:val="005A39DE"/>
    <w:rsid w:val="005A3D9D"/>
    <w:rsid w:val="005B4BBD"/>
    <w:rsid w:val="005C3134"/>
    <w:rsid w:val="005D78A2"/>
    <w:rsid w:val="005D7C2C"/>
    <w:rsid w:val="005E1643"/>
    <w:rsid w:val="005E1881"/>
    <w:rsid w:val="005F1D84"/>
    <w:rsid w:val="005F2FA3"/>
    <w:rsid w:val="005F38AF"/>
    <w:rsid w:val="005F7EA5"/>
    <w:rsid w:val="0061150E"/>
    <w:rsid w:val="00614607"/>
    <w:rsid w:val="00620950"/>
    <w:rsid w:val="006246C0"/>
    <w:rsid w:val="00627099"/>
    <w:rsid w:val="0062799B"/>
    <w:rsid w:val="00631171"/>
    <w:rsid w:val="00634FC9"/>
    <w:rsid w:val="00641137"/>
    <w:rsid w:val="00644047"/>
    <w:rsid w:val="00655C94"/>
    <w:rsid w:val="00663350"/>
    <w:rsid w:val="00666C8E"/>
    <w:rsid w:val="006714F5"/>
    <w:rsid w:val="006756F0"/>
    <w:rsid w:val="006A06FD"/>
    <w:rsid w:val="006B78AB"/>
    <w:rsid w:val="006D2C45"/>
    <w:rsid w:val="006E219D"/>
    <w:rsid w:val="006E2CAD"/>
    <w:rsid w:val="006E5E48"/>
    <w:rsid w:val="00707C81"/>
    <w:rsid w:val="00712BF3"/>
    <w:rsid w:val="007202D5"/>
    <w:rsid w:val="0073299B"/>
    <w:rsid w:val="00736149"/>
    <w:rsid w:val="00736DAF"/>
    <w:rsid w:val="00740643"/>
    <w:rsid w:val="00746BD3"/>
    <w:rsid w:val="007603D0"/>
    <w:rsid w:val="00760ACC"/>
    <w:rsid w:val="007644FA"/>
    <w:rsid w:val="00774195"/>
    <w:rsid w:val="007773F3"/>
    <w:rsid w:val="007813E6"/>
    <w:rsid w:val="00785459"/>
    <w:rsid w:val="007906E2"/>
    <w:rsid w:val="00790E8B"/>
    <w:rsid w:val="00796353"/>
    <w:rsid w:val="007A6285"/>
    <w:rsid w:val="007B42EA"/>
    <w:rsid w:val="007B7E7D"/>
    <w:rsid w:val="007D5B53"/>
    <w:rsid w:val="007F170D"/>
    <w:rsid w:val="007F6EF9"/>
    <w:rsid w:val="0080323D"/>
    <w:rsid w:val="00805A69"/>
    <w:rsid w:val="00811136"/>
    <w:rsid w:val="00811CA9"/>
    <w:rsid w:val="00823320"/>
    <w:rsid w:val="00826E02"/>
    <w:rsid w:val="00834532"/>
    <w:rsid w:val="00837FF2"/>
    <w:rsid w:val="00842AC2"/>
    <w:rsid w:val="00860BD3"/>
    <w:rsid w:val="008714B6"/>
    <w:rsid w:val="00880CB9"/>
    <w:rsid w:val="00886F81"/>
    <w:rsid w:val="008933F1"/>
    <w:rsid w:val="008B78A3"/>
    <w:rsid w:val="008C01D5"/>
    <w:rsid w:val="008C1CEB"/>
    <w:rsid w:val="008E26F6"/>
    <w:rsid w:val="008E4D14"/>
    <w:rsid w:val="00913239"/>
    <w:rsid w:val="009242EC"/>
    <w:rsid w:val="009375E9"/>
    <w:rsid w:val="00937E2D"/>
    <w:rsid w:val="00943463"/>
    <w:rsid w:val="00944726"/>
    <w:rsid w:val="009448A8"/>
    <w:rsid w:val="00946682"/>
    <w:rsid w:val="00963114"/>
    <w:rsid w:val="00964FFF"/>
    <w:rsid w:val="00967DC5"/>
    <w:rsid w:val="00977333"/>
    <w:rsid w:val="00987276"/>
    <w:rsid w:val="0099204A"/>
    <w:rsid w:val="00994C44"/>
    <w:rsid w:val="009C53F5"/>
    <w:rsid w:val="009D3DC9"/>
    <w:rsid w:val="009F08A4"/>
    <w:rsid w:val="009F1694"/>
    <w:rsid w:val="009F5834"/>
    <w:rsid w:val="009F6C55"/>
    <w:rsid w:val="00A0145D"/>
    <w:rsid w:val="00A1195E"/>
    <w:rsid w:val="00A227DF"/>
    <w:rsid w:val="00A52B4E"/>
    <w:rsid w:val="00A5755B"/>
    <w:rsid w:val="00A66886"/>
    <w:rsid w:val="00A736F0"/>
    <w:rsid w:val="00A77210"/>
    <w:rsid w:val="00A81459"/>
    <w:rsid w:val="00A847AD"/>
    <w:rsid w:val="00A925DD"/>
    <w:rsid w:val="00AC1753"/>
    <w:rsid w:val="00AD24D2"/>
    <w:rsid w:val="00AD4AC8"/>
    <w:rsid w:val="00AD5414"/>
    <w:rsid w:val="00AE1859"/>
    <w:rsid w:val="00AE2B12"/>
    <w:rsid w:val="00AE38AE"/>
    <w:rsid w:val="00AF269E"/>
    <w:rsid w:val="00AF7826"/>
    <w:rsid w:val="00AF7E16"/>
    <w:rsid w:val="00B02514"/>
    <w:rsid w:val="00B04424"/>
    <w:rsid w:val="00B0693C"/>
    <w:rsid w:val="00B14D52"/>
    <w:rsid w:val="00B16911"/>
    <w:rsid w:val="00B172BC"/>
    <w:rsid w:val="00B25BA5"/>
    <w:rsid w:val="00B263B5"/>
    <w:rsid w:val="00B26E95"/>
    <w:rsid w:val="00B3225E"/>
    <w:rsid w:val="00B40E93"/>
    <w:rsid w:val="00B453C5"/>
    <w:rsid w:val="00B45A3F"/>
    <w:rsid w:val="00B53379"/>
    <w:rsid w:val="00B56E16"/>
    <w:rsid w:val="00B66AEC"/>
    <w:rsid w:val="00B67626"/>
    <w:rsid w:val="00B75BE9"/>
    <w:rsid w:val="00B808D8"/>
    <w:rsid w:val="00B92C8E"/>
    <w:rsid w:val="00BA4580"/>
    <w:rsid w:val="00BA592A"/>
    <w:rsid w:val="00BB2B85"/>
    <w:rsid w:val="00BC0278"/>
    <w:rsid w:val="00BC28FD"/>
    <w:rsid w:val="00BC3D07"/>
    <w:rsid w:val="00BD3FA8"/>
    <w:rsid w:val="00BD43BD"/>
    <w:rsid w:val="00BD7FFA"/>
    <w:rsid w:val="00BE29BC"/>
    <w:rsid w:val="00BE2AAB"/>
    <w:rsid w:val="00BE3895"/>
    <w:rsid w:val="00BF13D5"/>
    <w:rsid w:val="00BF61B0"/>
    <w:rsid w:val="00C00939"/>
    <w:rsid w:val="00C05C36"/>
    <w:rsid w:val="00C07953"/>
    <w:rsid w:val="00C16DAA"/>
    <w:rsid w:val="00C25A86"/>
    <w:rsid w:val="00C2637C"/>
    <w:rsid w:val="00C4498D"/>
    <w:rsid w:val="00C6103D"/>
    <w:rsid w:val="00C73247"/>
    <w:rsid w:val="00C867D4"/>
    <w:rsid w:val="00C93B8D"/>
    <w:rsid w:val="00C97FC3"/>
    <w:rsid w:val="00CB69B6"/>
    <w:rsid w:val="00CC2708"/>
    <w:rsid w:val="00CC34E0"/>
    <w:rsid w:val="00CC424C"/>
    <w:rsid w:val="00CD0A7A"/>
    <w:rsid w:val="00CD459C"/>
    <w:rsid w:val="00CE1F20"/>
    <w:rsid w:val="00D1663D"/>
    <w:rsid w:val="00D16FDC"/>
    <w:rsid w:val="00D34FC1"/>
    <w:rsid w:val="00D35CB2"/>
    <w:rsid w:val="00D5620F"/>
    <w:rsid w:val="00D81BF6"/>
    <w:rsid w:val="00D82EC2"/>
    <w:rsid w:val="00D91B64"/>
    <w:rsid w:val="00DA0915"/>
    <w:rsid w:val="00DA1E86"/>
    <w:rsid w:val="00DB362F"/>
    <w:rsid w:val="00DC4FFC"/>
    <w:rsid w:val="00DC6C69"/>
    <w:rsid w:val="00DD3B25"/>
    <w:rsid w:val="00DE0558"/>
    <w:rsid w:val="00DE2022"/>
    <w:rsid w:val="00DE5E40"/>
    <w:rsid w:val="00DF0F89"/>
    <w:rsid w:val="00E03528"/>
    <w:rsid w:val="00E14125"/>
    <w:rsid w:val="00E374B7"/>
    <w:rsid w:val="00E51ED7"/>
    <w:rsid w:val="00E529C4"/>
    <w:rsid w:val="00E568EF"/>
    <w:rsid w:val="00E57698"/>
    <w:rsid w:val="00E61A8F"/>
    <w:rsid w:val="00E61CFF"/>
    <w:rsid w:val="00E649B6"/>
    <w:rsid w:val="00E64A0A"/>
    <w:rsid w:val="00E8338E"/>
    <w:rsid w:val="00E94A97"/>
    <w:rsid w:val="00EC4050"/>
    <w:rsid w:val="00EC7885"/>
    <w:rsid w:val="00ED11C5"/>
    <w:rsid w:val="00EF4DCD"/>
    <w:rsid w:val="00EF646B"/>
    <w:rsid w:val="00F0060D"/>
    <w:rsid w:val="00F04826"/>
    <w:rsid w:val="00F109D8"/>
    <w:rsid w:val="00F33693"/>
    <w:rsid w:val="00F36AB0"/>
    <w:rsid w:val="00F445CE"/>
    <w:rsid w:val="00F55D87"/>
    <w:rsid w:val="00F659D4"/>
    <w:rsid w:val="00F71CB5"/>
    <w:rsid w:val="00F8185A"/>
    <w:rsid w:val="00F825A5"/>
    <w:rsid w:val="00FA78EF"/>
    <w:rsid w:val="00FB6BB1"/>
    <w:rsid w:val="00FC6185"/>
    <w:rsid w:val="00FE4FDA"/>
    <w:rsid w:val="00FF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4953B"/>
  <w15:docId w15:val="{19368DBD-0C64-4B38-9DE6-8FF14808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20"/>
  </w:style>
  <w:style w:type="paragraph" w:styleId="Heading1">
    <w:name w:val="heading 1"/>
    <w:basedOn w:val="Normal"/>
    <w:next w:val="Normal"/>
    <w:link w:val="Heading1Char"/>
    <w:uiPriority w:val="9"/>
    <w:qFormat/>
    <w:rsid w:val="00E14125"/>
    <w:pPr>
      <w:keepNext/>
      <w:ind w:left="0"/>
      <w:outlineLvl w:val="0"/>
    </w:pPr>
    <w:rPr>
      <w:rFonts w:ascii="Helvetica" w:eastAsia="Times New Roman" w:hAnsi="Helvetica"/>
      <w:b/>
      <w:bCs/>
      <w:color w:val="000000"/>
      <w:szCs w:val="20"/>
    </w:rPr>
  </w:style>
  <w:style w:type="paragraph" w:styleId="Heading2">
    <w:name w:val="heading 2"/>
    <w:basedOn w:val="Normal"/>
    <w:next w:val="Normal"/>
    <w:link w:val="Heading2Char"/>
    <w:uiPriority w:val="9"/>
    <w:unhideWhenUsed/>
    <w:qFormat/>
    <w:rsid w:val="00BE29BC"/>
    <w:pPr>
      <w:keepNext/>
      <w:keepLines/>
      <w:ind w:left="0"/>
      <w:outlineLvl w:val="1"/>
    </w:pPr>
    <w:rPr>
      <w:rFonts w:eastAsiaTheme="majorEastAsia"/>
      <w:b/>
      <w:bCs/>
      <w:u w:val="single"/>
    </w:rPr>
  </w:style>
  <w:style w:type="paragraph" w:styleId="Heading3">
    <w:name w:val="heading 3"/>
    <w:basedOn w:val="Normal"/>
    <w:next w:val="Normal"/>
    <w:link w:val="Heading3Char"/>
    <w:uiPriority w:val="9"/>
    <w:unhideWhenUsed/>
    <w:qFormat/>
    <w:rsid w:val="00BE29BC"/>
    <w:pPr>
      <w:keepNext/>
      <w:keepLines/>
      <w:ind w:left="0"/>
      <w:outlineLvl w:val="2"/>
    </w:pPr>
    <w:rPr>
      <w:rFonts w:eastAsiaTheme="majorEastAsia"/>
      <w:b/>
      <w:bCs/>
    </w:rPr>
  </w:style>
  <w:style w:type="paragraph" w:styleId="Heading4">
    <w:name w:val="heading 4"/>
    <w:basedOn w:val="Normal"/>
    <w:next w:val="Normal"/>
    <w:link w:val="Heading4Char"/>
    <w:uiPriority w:val="9"/>
    <w:unhideWhenUsed/>
    <w:qFormat/>
    <w:rsid w:val="00BE29BC"/>
    <w:pPr>
      <w:keepNext/>
      <w:keepLines/>
      <w:ind w:left="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25"/>
    <w:rPr>
      <w:rFonts w:ascii="Helvetica" w:eastAsia="Times New Roman" w:hAnsi="Helvetica"/>
      <w:b/>
      <w:bCs/>
      <w:color w:val="000000"/>
      <w:szCs w:val="20"/>
    </w:rPr>
  </w:style>
  <w:style w:type="character" w:customStyle="1" w:styleId="Heading2Char">
    <w:name w:val="Heading 2 Char"/>
    <w:basedOn w:val="DefaultParagraphFont"/>
    <w:link w:val="Heading2"/>
    <w:uiPriority w:val="9"/>
    <w:rsid w:val="00BE29BC"/>
    <w:rPr>
      <w:rFonts w:eastAsiaTheme="majorEastAsia"/>
      <w:b/>
      <w:bCs/>
      <w:u w:val="single"/>
    </w:rPr>
  </w:style>
  <w:style w:type="character" w:customStyle="1" w:styleId="Heading3Char">
    <w:name w:val="Heading 3 Char"/>
    <w:basedOn w:val="DefaultParagraphFont"/>
    <w:link w:val="Heading3"/>
    <w:uiPriority w:val="9"/>
    <w:rsid w:val="00BE29BC"/>
    <w:rPr>
      <w:rFonts w:eastAsiaTheme="majorEastAsia"/>
      <w:b/>
      <w:bCs/>
    </w:rPr>
  </w:style>
  <w:style w:type="character" w:customStyle="1" w:styleId="Heading4Char">
    <w:name w:val="Heading 4 Char"/>
    <w:basedOn w:val="DefaultParagraphFont"/>
    <w:link w:val="Heading4"/>
    <w:uiPriority w:val="9"/>
    <w:rsid w:val="00BE29BC"/>
    <w:rPr>
      <w:rFonts w:asciiTheme="majorHAnsi" w:eastAsiaTheme="majorEastAsia" w:hAnsiTheme="majorHAnsi" w:cstheme="majorBidi"/>
      <w:b/>
      <w:bCs/>
      <w:i/>
      <w:iCs/>
    </w:rPr>
  </w:style>
  <w:style w:type="paragraph" w:styleId="ListParagraph">
    <w:name w:val="List Paragraph"/>
    <w:basedOn w:val="Normal"/>
    <w:uiPriority w:val="34"/>
    <w:qFormat/>
    <w:rsid w:val="00B453C5"/>
    <w:pPr>
      <w:ind w:left="720"/>
      <w:contextualSpacing/>
    </w:pPr>
  </w:style>
  <w:style w:type="paragraph" w:customStyle="1" w:styleId="Cell">
    <w:name w:val="Cell"/>
    <w:basedOn w:val="Normal"/>
    <w:uiPriority w:val="99"/>
    <w:rsid w:val="00B453C5"/>
    <w:pPr>
      <w:widowControl w:val="0"/>
      <w:autoSpaceDE w:val="0"/>
      <w:autoSpaceDN w:val="0"/>
      <w:adjustRightInd w:val="0"/>
      <w:ind w:left="0"/>
    </w:pPr>
    <w:rPr>
      <w:rFonts w:ascii="Times" w:eastAsia="Times New Roman" w:hAnsi="Times" w:cs="Times"/>
      <w:noProof/>
      <w:color w:val="000000"/>
    </w:rPr>
  </w:style>
  <w:style w:type="table" w:styleId="TableGrid">
    <w:name w:val="Table Grid"/>
    <w:basedOn w:val="TableNormal"/>
    <w:uiPriority w:val="59"/>
    <w:rsid w:val="00577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14125"/>
    <w:pPr>
      <w:tabs>
        <w:tab w:val="center" w:pos="4320"/>
        <w:tab w:val="right" w:pos="8640"/>
      </w:tabs>
      <w:ind w:left="0"/>
    </w:pPr>
    <w:rPr>
      <w:rFonts w:ascii="Helvetica" w:eastAsia="Times New Roman" w:hAnsi="Helvetica"/>
      <w:color w:val="000000"/>
      <w:szCs w:val="20"/>
    </w:rPr>
  </w:style>
  <w:style w:type="character" w:customStyle="1" w:styleId="HeaderChar">
    <w:name w:val="Header Char"/>
    <w:basedOn w:val="DefaultParagraphFont"/>
    <w:link w:val="Header"/>
    <w:semiHidden/>
    <w:rsid w:val="00E14125"/>
    <w:rPr>
      <w:rFonts w:ascii="Helvetica" w:eastAsia="Times New Roman" w:hAnsi="Helvetica"/>
      <w:color w:val="000000"/>
      <w:szCs w:val="20"/>
    </w:rPr>
  </w:style>
  <w:style w:type="paragraph" w:styleId="BodyText3">
    <w:name w:val="Body Text 3"/>
    <w:basedOn w:val="Normal"/>
    <w:link w:val="BodyText3Char"/>
    <w:semiHidden/>
    <w:rsid w:val="00E14125"/>
    <w:pPr>
      <w:ind w:left="0"/>
      <w:jc w:val="both"/>
    </w:pPr>
    <w:rPr>
      <w:rFonts w:ascii="Helvetica" w:eastAsia="Times New Roman" w:hAnsi="Helvetica"/>
      <w:color w:val="000000"/>
      <w:szCs w:val="20"/>
    </w:rPr>
  </w:style>
  <w:style w:type="character" w:customStyle="1" w:styleId="BodyText3Char">
    <w:name w:val="Body Text 3 Char"/>
    <w:basedOn w:val="DefaultParagraphFont"/>
    <w:link w:val="BodyText3"/>
    <w:semiHidden/>
    <w:rsid w:val="00E14125"/>
    <w:rPr>
      <w:rFonts w:ascii="Helvetica" w:eastAsia="Times New Roman" w:hAnsi="Helvetica"/>
      <w:color w:val="000000"/>
      <w:szCs w:val="20"/>
    </w:rPr>
  </w:style>
  <w:style w:type="paragraph" w:customStyle="1" w:styleId="subtitle3">
    <w:name w:val="subtitle3"/>
    <w:basedOn w:val="Normal"/>
    <w:rsid w:val="00E14125"/>
    <w:pPr>
      <w:widowControl w:val="0"/>
      <w:autoSpaceDE w:val="0"/>
      <w:autoSpaceDN w:val="0"/>
      <w:ind w:left="0"/>
      <w:jc w:val="center"/>
    </w:pPr>
    <w:rPr>
      <w:rFonts w:ascii="Helvetica" w:eastAsia="Times New Roman" w:hAnsi="Helvetica"/>
      <w:color w:val="000000"/>
    </w:rPr>
  </w:style>
  <w:style w:type="paragraph" w:styleId="BodyTextIndent3">
    <w:name w:val="Body Text Indent 3"/>
    <w:basedOn w:val="Normal"/>
    <w:link w:val="BodyTextIndent3Char"/>
    <w:semiHidden/>
    <w:rsid w:val="00E14125"/>
    <w:pPr>
      <w:ind w:left="1440" w:hanging="720"/>
      <w:jc w:val="both"/>
    </w:pPr>
    <w:rPr>
      <w:rFonts w:ascii="Helvetica" w:eastAsia="Times New Roman" w:hAnsi="Helvetica"/>
      <w:color w:val="000000"/>
      <w:szCs w:val="20"/>
    </w:rPr>
  </w:style>
  <w:style w:type="character" w:customStyle="1" w:styleId="BodyTextIndent3Char">
    <w:name w:val="Body Text Indent 3 Char"/>
    <w:basedOn w:val="DefaultParagraphFont"/>
    <w:link w:val="BodyTextIndent3"/>
    <w:semiHidden/>
    <w:rsid w:val="00E14125"/>
    <w:rPr>
      <w:rFonts w:ascii="Helvetica" w:eastAsia="Times New Roman" w:hAnsi="Helvetica"/>
      <w:color w:val="000000"/>
      <w:szCs w:val="20"/>
    </w:rPr>
  </w:style>
  <w:style w:type="character" w:customStyle="1" w:styleId="CommentTextChar">
    <w:name w:val="Comment Text Char"/>
    <w:basedOn w:val="DefaultParagraphFont"/>
    <w:link w:val="CommentText"/>
    <w:uiPriority w:val="99"/>
    <w:semiHidden/>
    <w:rsid w:val="00BE29BC"/>
    <w:rPr>
      <w:sz w:val="20"/>
      <w:szCs w:val="20"/>
    </w:rPr>
  </w:style>
  <w:style w:type="paragraph" w:styleId="CommentText">
    <w:name w:val="annotation text"/>
    <w:basedOn w:val="Normal"/>
    <w:link w:val="CommentTextChar"/>
    <w:uiPriority w:val="99"/>
    <w:semiHidden/>
    <w:unhideWhenUsed/>
    <w:rsid w:val="00BE29BC"/>
    <w:pPr>
      <w:ind w:left="0"/>
    </w:pPr>
    <w:rPr>
      <w:sz w:val="20"/>
      <w:szCs w:val="20"/>
    </w:rPr>
  </w:style>
  <w:style w:type="character" w:customStyle="1" w:styleId="CommentSubjectChar">
    <w:name w:val="Comment Subject Char"/>
    <w:basedOn w:val="CommentTextChar"/>
    <w:link w:val="CommentSubject"/>
    <w:uiPriority w:val="99"/>
    <w:semiHidden/>
    <w:rsid w:val="00BE29BC"/>
    <w:rPr>
      <w:b/>
      <w:bCs/>
      <w:sz w:val="20"/>
      <w:szCs w:val="20"/>
    </w:rPr>
  </w:style>
  <w:style w:type="paragraph" w:styleId="CommentSubject">
    <w:name w:val="annotation subject"/>
    <w:basedOn w:val="CommentText"/>
    <w:next w:val="CommentText"/>
    <w:link w:val="CommentSubjectChar"/>
    <w:uiPriority w:val="99"/>
    <w:semiHidden/>
    <w:unhideWhenUsed/>
    <w:rsid w:val="00BE29BC"/>
    <w:rPr>
      <w:b/>
      <w:bCs/>
    </w:rPr>
  </w:style>
  <w:style w:type="character" w:customStyle="1" w:styleId="BalloonTextChar">
    <w:name w:val="Balloon Text Char"/>
    <w:basedOn w:val="DefaultParagraphFont"/>
    <w:link w:val="BalloonText"/>
    <w:uiPriority w:val="99"/>
    <w:semiHidden/>
    <w:rsid w:val="00BE29BC"/>
    <w:rPr>
      <w:rFonts w:ascii="Tahoma" w:hAnsi="Tahoma" w:cs="Tahoma"/>
      <w:sz w:val="16"/>
      <w:szCs w:val="16"/>
    </w:rPr>
  </w:style>
  <w:style w:type="paragraph" w:styleId="BalloonText">
    <w:name w:val="Balloon Text"/>
    <w:basedOn w:val="Normal"/>
    <w:link w:val="BalloonTextChar"/>
    <w:uiPriority w:val="99"/>
    <w:semiHidden/>
    <w:unhideWhenUsed/>
    <w:rsid w:val="00BE29BC"/>
    <w:pPr>
      <w:ind w:left="0"/>
    </w:pPr>
    <w:rPr>
      <w:rFonts w:ascii="Tahoma" w:hAnsi="Tahoma" w:cs="Tahoma"/>
      <w:sz w:val="16"/>
      <w:szCs w:val="16"/>
    </w:rPr>
  </w:style>
  <w:style w:type="paragraph" w:styleId="Caption">
    <w:name w:val="caption"/>
    <w:basedOn w:val="Normal"/>
    <w:next w:val="Normal"/>
    <w:qFormat/>
    <w:rsid w:val="00BE29BC"/>
    <w:pPr>
      <w:spacing w:after="20"/>
      <w:ind w:left="0"/>
    </w:pPr>
    <w:rPr>
      <w:rFonts w:eastAsia="Times New Roman"/>
      <w:b/>
      <w:bCs/>
      <w:sz w:val="20"/>
      <w:szCs w:val="20"/>
    </w:rPr>
  </w:style>
  <w:style w:type="character" w:customStyle="1" w:styleId="Style10pt">
    <w:name w:val="Style 10 pt"/>
    <w:basedOn w:val="DefaultParagraphFont"/>
    <w:rsid w:val="00BE29BC"/>
    <w:rPr>
      <w:sz w:val="20"/>
    </w:rPr>
  </w:style>
  <w:style w:type="paragraph" w:styleId="Footer">
    <w:name w:val="footer"/>
    <w:basedOn w:val="Normal"/>
    <w:link w:val="FooterChar"/>
    <w:uiPriority w:val="99"/>
    <w:unhideWhenUsed/>
    <w:rsid w:val="00BE29BC"/>
    <w:pPr>
      <w:tabs>
        <w:tab w:val="center" w:pos="4680"/>
        <w:tab w:val="right" w:pos="9360"/>
      </w:tabs>
      <w:ind w:left="0"/>
    </w:pPr>
  </w:style>
  <w:style w:type="character" w:customStyle="1" w:styleId="FooterChar">
    <w:name w:val="Footer Char"/>
    <w:basedOn w:val="DefaultParagraphFont"/>
    <w:link w:val="Footer"/>
    <w:uiPriority w:val="99"/>
    <w:rsid w:val="00BE29BC"/>
  </w:style>
  <w:style w:type="paragraph" w:customStyle="1" w:styleId="Style1CharCharChar">
    <w:name w:val="Style1 Char Char Char"/>
    <w:basedOn w:val="Normal"/>
    <w:link w:val="Style1CharCharCharChar1"/>
    <w:rsid w:val="00BE29BC"/>
    <w:pPr>
      <w:spacing w:after="60"/>
      <w:ind w:left="0"/>
    </w:pPr>
    <w:rPr>
      <w:rFonts w:eastAsia="Times New Roman"/>
    </w:rPr>
  </w:style>
  <w:style w:type="character" w:customStyle="1" w:styleId="Style1CharCharCharChar1">
    <w:name w:val="Style1 Char Char Char Char1"/>
    <w:basedOn w:val="DefaultParagraphFont"/>
    <w:link w:val="Style1CharCharChar"/>
    <w:rsid w:val="00BE29BC"/>
    <w:rPr>
      <w:rFonts w:eastAsia="Times New Roman"/>
    </w:rPr>
  </w:style>
  <w:style w:type="paragraph" w:customStyle="1" w:styleId="TableCell">
    <w:name w:val="Table Cell"/>
    <w:basedOn w:val="Normal"/>
    <w:next w:val="Normal"/>
    <w:rsid w:val="00BE29BC"/>
    <w:pPr>
      <w:spacing w:after="20"/>
      <w:ind w:left="0"/>
    </w:pPr>
    <w:rPr>
      <w:rFonts w:eastAsia="Times New Roman"/>
      <w:sz w:val="20"/>
    </w:rPr>
  </w:style>
  <w:style w:type="paragraph" w:styleId="Title">
    <w:name w:val="Title"/>
    <w:basedOn w:val="Normal"/>
    <w:next w:val="Normal"/>
    <w:link w:val="TitleChar"/>
    <w:uiPriority w:val="10"/>
    <w:qFormat/>
    <w:rsid w:val="00BE29BC"/>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29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29BC"/>
    <w:pPr>
      <w:numPr>
        <w:ilvl w:val="1"/>
      </w:numPr>
      <w:ind w:left="36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E29BC"/>
    <w:rPr>
      <w:rFonts w:asciiTheme="majorHAnsi" w:eastAsiaTheme="majorEastAsia" w:hAnsiTheme="majorHAnsi" w:cstheme="majorBidi"/>
      <w:i/>
      <w:iCs/>
      <w:color w:val="4F81BD" w:themeColor="accent1"/>
      <w:spacing w:val="15"/>
    </w:rPr>
  </w:style>
  <w:style w:type="paragraph" w:customStyle="1" w:styleId="table">
    <w:name w:val="table"/>
    <w:basedOn w:val="Normal"/>
    <w:rsid w:val="00BE29BC"/>
    <w:pPr>
      <w:widowControl w:val="0"/>
      <w:autoSpaceDE w:val="0"/>
      <w:autoSpaceDN w:val="0"/>
      <w:ind w:left="0"/>
      <w:jc w:val="both"/>
    </w:pPr>
    <w:rPr>
      <w:rFonts w:ascii="Helvetica" w:eastAsia="Times New Roman" w:hAnsi="Helvetica"/>
      <w:bCs/>
      <w:noProof/>
      <w:sz w:val="18"/>
      <w:szCs w:val="18"/>
    </w:rPr>
  </w:style>
  <w:style w:type="paragraph" w:styleId="FootnoteText">
    <w:name w:val="footnote text"/>
    <w:basedOn w:val="Normal"/>
    <w:link w:val="FootnoteTextChar"/>
    <w:uiPriority w:val="99"/>
    <w:rsid w:val="00BE29BC"/>
    <w:pPr>
      <w:spacing w:after="159"/>
      <w:ind w:left="0"/>
    </w:pPr>
    <w:rPr>
      <w:rFonts w:eastAsia="Times New Roman"/>
      <w:kern w:val="24"/>
      <w:sz w:val="20"/>
      <w:szCs w:val="20"/>
    </w:rPr>
  </w:style>
  <w:style w:type="character" w:customStyle="1" w:styleId="FootnoteTextChar">
    <w:name w:val="Footnote Text Char"/>
    <w:basedOn w:val="DefaultParagraphFont"/>
    <w:link w:val="FootnoteText"/>
    <w:uiPriority w:val="99"/>
    <w:rsid w:val="00BE29BC"/>
    <w:rPr>
      <w:rFonts w:eastAsia="Times New Roman"/>
      <w:kern w:val="24"/>
      <w:sz w:val="20"/>
      <w:szCs w:val="20"/>
    </w:rPr>
  </w:style>
  <w:style w:type="character" w:styleId="FootnoteReference">
    <w:name w:val="footnote reference"/>
    <w:basedOn w:val="DefaultParagraphFont"/>
    <w:uiPriority w:val="99"/>
    <w:rsid w:val="00BE29BC"/>
    <w:rPr>
      <w:vertAlign w:val="superscript"/>
    </w:rPr>
  </w:style>
  <w:style w:type="character" w:customStyle="1" w:styleId="EndnoteTextChar">
    <w:name w:val="Endnote Text Char"/>
    <w:basedOn w:val="DefaultParagraphFont"/>
    <w:link w:val="EndnoteText"/>
    <w:uiPriority w:val="99"/>
    <w:semiHidden/>
    <w:rsid w:val="00BE29BC"/>
    <w:rPr>
      <w:sz w:val="20"/>
      <w:szCs w:val="20"/>
    </w:rPr>
  </w:style>
  <w:style w:type="paragraph" w:styleId="EndnoteText">
    <w:name w:val="endnote text"/>
    <w:basedOn w:val="Normal"/>
    <w:link w:val="EndnoteTextChar"/>
    <w:uiPriority w:val="99"/>
    <w:semiHidden/>
    <w:unhideWhenUsed/>
    <w:rsid w:val="00BE29BC"/>
    <w:pPr>
      <w:ind w:left="0"/>
    </w:pPr>
    <w:rPr>
      <w:sz w:val="20"/>
      <w:szCs w:val="20"/>
    </w:rPr>
  </w:style>
  <w:style w:type="paragraph" w:customStyle="1" w:styleId="Default">
    <w:name w:val="Default"/>
    <w:rsid w:val="001E5B50"/>
    <w:pPr>
      <w:autoSpaceDE w:val="0"/>
      <w:autoSpaceDN w:val="0"/>
      <w:adjustRightInd w:val="0"/>
      <w:ind w:left="0"/>
    </w:pPr>
    <w:rPr>
      <w:color w:val="000000"/>
    </w:rPr>
  </w:style>
  <w:style w:type="paragraph" w:customStyle="1" w:styleId="Paragraph">
    <w:name w:val="Paragraph"/>
    <w:basedOn w:val="Normal"/>
    <w:rsid w:val="004E3E52"/>
    <w:pPr>
      <w:widowControl w:val="0"/>
      <w:autoSpaceDE w:val="0"/>
      <w:autoSpaceDN w:val="0"/>
      <w:adjustRightInd w:val="0"/>
      <w:spacing w:after="172"/>
      <w:ind w:left="0"/>
    </w:pPr>
    <w:rPr>
      <w:rFonts w:ascii="Times" w:eastAsia="Times New Roman" w:hAnsi="Times"/>
      <w:color w:val="000000"/>
    </w:rPr>
  </w:style>
  <w:style w:type="table" w:customStyle="1" w:styleId="TableGrid1">
    <w:name w:val="Table Grid1"/>
    <w:basedOn w:val="TableNormal"/>
    <w:next w:val="TableGrid"/>
    <w:uiPriority w:val="59"/>
    <w:rsid w:val="00190E33"/>
    <w:pPr>
      <w:ind w:left="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A0263"/>
    <w:pPr>
      <w:spacing w:after="120"/>
    </w:pPr>
  </w:style>
  <w:style w:type="character" w:customStyle="1" w:styleId="BodyTextChar">
    <w:name w:val="Body Text Char"/>
    <w:basedOn w:val="DefaultParagraphFont"/>
    <w:link w:val="BodyText"/>
    <w:uiPriority w:val="99"/>
    <w:semiHidden/>
    <w:rsid w:val="005A0263"/>
  </w:style>
  <w:style w:type="paragraph" w:styleId="TOCHeading">
    <w:name w:val="TOC Heading"/>
    <w:basedOn w:val="Heading1"/>
    <w:next w:val="Normal"/>
    <w:uiPriority w:val="39"/>
    <w:unhideWhenUsed/>
    <w:qFormat/>
    <w:rsid w:val="00FF16EA"/>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FF16EA"/>
    <w:pPr>
      <w:spacing w:after="100"/>
      <w:ind w:left="0"/>
    </w:pPr>
  </w:style>
  <w:style w:type="character" w:styleId="Hyperlink">
    <w:name w:val="Hyperlink"/>
    <w:basedOn w:val="DefaultParagraphFont"/>
    <w:uiPriority w:val="99"/>
    <w:unhideWhenUsed/>
    <w:rsid w:val="00FF16EA"/>
    <w:rPr>
      <w:color w:val="0000FF" w:themeColor="hyperlink"/>
      <w:u w:val="single"/>
    </w:rPr>
  </w:style>
  <w:style w:type="paragraph" w:styleId="TOC2">
    <w:name w:val="toc 2"/>
    <w:basedOn w:val="Normal"/>
    <w:next w:val="Normal"/>
    <w:autoRedefine/>
    <w:uiPriority w:val="39"/>
    <w:unhideWhenUsed/>
    <w:rsid w:val="00256D74"/>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256D74"/>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020E30"/>
    <w:rPr>
      <w:sz w:val="16"/>
      <w:szCs w:val="16"/>
    </w:rPr>
  </w:style>
  <w:style w:type="table" w:customStyle="1" w:styleId="TableGrid2">
    <w:name w:val="Table Grid2"/>
    <w:basedOn w:val="TableNormal"/>
    <w:next w:val="TableGrid"/>
    <w:uiPriority w:val="59"/>
    <w:rsid w:val="00025832"/>
    <w:pPr>
      <w:ind w:left="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15AF-9D7E-4084-AE5A-15C15C64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3384</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kbirkmaier</dc:creator>
  <cp:keywords/>
  <dc:description/>
  <cp:lastModifiedBy>Mork, Shawn - FS, OR</cp:lastModifiedBy>
  <cp:revision>5</cp:revision>
  <cp:lastPrinted>2017-02-28T15:16:00Z</cp:lastPrinted>
  <dcterms:created xsi:type="dcterms:W3CDTF">2019-04-18T18:15:00Z</dcterms:created>
  <dcterms:modified xsi:type="dcterms:W3CDTF">2023-05-10T21:09:00Z</dcterms:modified>
</cp:coreProperties>
</file>