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3ED5E" w14:textId="77777777" w:rsidR="00F22D95" w:rsidRPr="0092307F" w:rsidRDefault="005A66E7" w:rsidP="00F22D95">
      <w:pPr>
        <w:rPr>
          <w:lang w:bidi="en-US"/>
        </w:rPr>
      </w:pPr>
      <w:bookmarkStart w:id="0" w:name="_GoBack"/>
      <w:bookmarkEnd w:id="0"/>
      <w:r w:rsidRPr="005A66E7">
        <w:rPr>
          <w:b/>
        </w:rPr>
        <w:t>Issue:</w:t>
      </w:r>
      <w:r>
        <w:t xml:space="preserve"> </w:t>
      </w:r>
      <w:r w:rsidR="00C329E3">
        <w:tab/>
        <w:t>You</w:t>
      </w:r>
      <w:r w:rsidR="00C329E3" w:rsidRPr="00396F5F">
        <w:t xml:space="preserve"> </w:t>
      </w:r>
      <w:r w:rsidR="00F22D95">
        <w:t>assert</w:t>
      </w:r>
      <w:r w:rsidR="00C329E3" w:rsidRPr="00396F5F">
        <w:t xml:space="preserve"> </w:t>
      </w:r>
      <w:r w:rsidR="00F22D95">
        <w:t xml:space="preserve">that </w:t>
      </w:r>
      <w:r w:rsidR="00F22D95">
        <w:rPr>
          <w:lang w:bidi="en-US"/>
        </w:rPr>
        <w:t>t</w:t>
      </w:r>
      <w:r w:rsidR="00F22D95" w:rsidRPr="0092307F">
        <w:rPr>
          <w:lang w:bidi="en-US"/>
        </w:rPr>
        <w:t xml:space="preserve">he Forest Service’s condition-based analysis is meaningless because the FEIS describes generic direct and indirect impacts from logging or roadbuilding but fails to explain, disclose, and analyze the actual direct and indirect effects associated with the implementation of the Project in any particular area at any given time. </w:t>
      </w:r>
    </w:p>
    <w:p w14:paraId="60576D96" w14:textId="77777777" w:rsidR="00766142" w:rsidRPr="00046BF6" w:rsidRDefault="00766142" w:rsidP="00766142">
      <w:pPr>
        <w:rPr>
          <w:rFonts w:eastAsia="Calibri"/>
        </w:rPr>
      </w:pPr>
      <w:r w:rsidRPr="0099000B">
        <w:rPr>
          <w:rStyle w:val="blue"/>
          <w:b/>
          <w:color w:val="auto"/>
        </w:rPr>
        <w:t>Response:</w:t>
      </w:r>
      <w:r w:rsidRPr="0099000B">
        <w:rPr>
          <w:rStyle w:val="blue"/>
          <w:color w:val="auto"/>
        </w:rPr>
        <w:t xml:space="preserve"> </w:t>
      </w:r>
      <w:r>
        <w:rPr>
          <w:rStyle w:val="blue"/>
          <w:color w:val="auto"/>
        </w:rPr>
        <w:t>The National Environmental Policy Act (</w:t>
      </w:r>
      <w:r w:rsidRPr="00046BF6">
        <w:t>NEPA</w:t>
      </w:r>
      <w:r>
        <w:t>)</w:t>
      </w:r>
      <w:r w:rsidRPr="00046BF6">
        <w:t xml:space="preserve"> requires that the agency should be able to demonstrate that it has taken a careful look at its actions and engaged in reasoned decision-making by using a </w:t>
      </w:r>
      <w:r w:rsidRPr="00046BF6">
        <w:rPr>
          <w:color w:val="000000"/>
          <w:kern w:val="22"/>
        </w:rPr>
        <w:t xml:space="preserve">reasonable and reliable process to identify potential environmental effects, and, if adverse impacts are found, use that information to explore options to reduce those impacts while still achieving the project’s objectives. </w:t>
      </w:r>
      <w:r w:rsidRPr="00046BF6">
        <w:rPr>
          <w:rFonts w:eastAsia="Calibri"/>
        </w:rPr>
        <w:t>The agency must also be able to explain clearly why the data it has collected and the methodologies it used were adequate to inform the public and the decision-maker of a project’s environmental effects.</w:t>
      </w:r>
    </w:p>
    <w:p w14:paraId="15140623" w14:textId="2BDD2C18" w:rsidR="00766142" w:rsidRPr="00046BF6" w:rsidRDefault="00766142" w:rsidP="00766142">
      <w:r>
        <w:rPr>
          <w:rFonts w:eastAsia="Calibri"/>
        </w:rPr>
        <w:t>The FEIS</w:t>
      </w:r>
      <w:r>
        <w:t xml:space="preserve"> is </w:t>
      </w:r>
      <w:r>
        <w:rPr>
          <w:rFonts w:eastAsia="Calibri"/>
        </w:rPr>
        <w:t>c</w:t>
      </w:r>
      <w:r w:rsidRPr="00046BF6">
        <w:rPr>
          <w:rFonts w:eastAsia="Calibri"/>
        </w:rPr>
        <w:t xml:space="preserve">onsistent </w:t>
      </w:r>
      <w:r>
        <w:rPr>
          <w:rFonts w:eastAsia="Calibri"/>
        </w:rPr>
        <w:t xml:space="preserve">with these requirements in that it </w:t>
      </w:r>
      <w:r w:rsidRPr="00046BF6">
        <w:t>employs a condition-based management strategy, where implementation of specific actions (described in Activity Cards) varies according to clearly identified on-the-ground and site-specific conditions</w:t>
      </w:r>
      <w:r>
        <w:t>.</w:t>
      </w:r>
      <w:r w:rsidRPr="00046BF6">
        <w:t xml:space="preserve"> </w:t>
      </w:r>
      <w:r>
        <w:t>This</w:t>
      </w:r>
      <w:r w:rsidRPr="00046BF6">
        <w:t xml:space="preserve"> allows flexibility when new information or changed circumstances arising during implementation are discovered, while staying within the design parameters and legal sideboards of the decision’s implementation plan.</w:t>
      </w:r>
      <w:r>
        <w:t xml:space="preserve"> This level of analysis meets the requirement of NEPA; although the analysis is not acre-by-acre (nor is that required), all the potential actions have been identified and analyzed at the maximum level of implementation allowable within each alternative.</w:t>
      </w:r>
    </w:p>
    <w:p w14:paraId="3C3C1CBF" w14:textId="5FD2B5E7" w:rsidR="00766142" w:rsidRPr="00046BF6" w:rsidRDefault="00766142" w:rsidP="00766142">
      <w:pPr>
        <w:rPr>
          <w:rFonts w:eastAsia="Calibri"/>
        </w:rPr>
      </w:pPr>
      <w:r w:rsidRPr="00046BF6">
        <w:rPr>
          <w:rFonts w:eastAsia="Calibri"/>
        </w:rPr>
        <w:t xml:space="preserve">The </w:t>
      </w:r>
      <w:r>
        <w:rPr>
          <w:rFonts w:eastAsia="Calibri"/>
        </w:rPr>
        <w:t>FEIS</w:t>
      </w:r>
      <w:r w:rsidRPr="00046BF6">
        <w:rPr>
          <w:rFonts w:eastAsia="Calibri"/>
        </w:rPr>
        <w:t xml:space="preserve"> fully complies with NEPA requirements </w:t>
      </w:r>
      <w:r>
        <w:rPr>
          <w:rFonts w:eastAsia="Calibri"/>
        </w:rPr>
        <w:t>to take a “hard look” at the impacts to the human environment.</w:t>
      </w:r>
    </w:p>
    <w:p w14:paraId="2411CFD9" w14:textId="77777777" w:rsidR="00B8016C" w:rsidRPr="00B8016C" w:rsidRDefault="00B8016C" w:rsidP="00F22D95"/>
    <w:p w14:paraId="5A5F8D79" w14:textId="20CDF0D7" w:rsidR="00F22D95" w:rsidRPr="00A67F53" w:rsidRDefault="006A2BE6" w:rsidP="00F22D95">
      <w:pPr>
        <w:rPr>
          <w:color w:val="0033CC"/>
          <w:lang w:bidi="en-US"/>
        </w:rPr>
      </w:pPr>
      <w:r>
        <w:rPr>
          <w:b/>
        </w:rPr>
        <w:t xml:space="preserve">Issue: </w:t>
      </w:r>
      <w:r w:rsidR="00F22D95">
        <w:rPr>
          <w:b/>
        </w:rPr>
        <w:tab/>
      </w:r>
      <w:r w:rsidR="00F22D95">
        <w:rPr>
          <w:lang w:bidi="en-US"/>
        </w:rPr>
        <w:t xml:space="preserve">You allege violations of </w:t>
      </w:r>
      <w:r w:rsidR="00766142">
        <w:rPr>
          <w:lang w:bidi="en-US"/>
        </w:rPr>
        <w:t>the Council on Environmental Quality</w:t>
      </w:r>
      <w:r w:rsidR="00766142" w:rsidRPr="00B3120E">
        <w:rPr>
          <w:lang w:bidi="en-US"/>
        </w:rPr>
        <w:t>’s</w:t>
      </w:r>
      <w:r w:rsidR="00F22D95" w:rsidRPr="00B3120E">
        <w:rPr>
          <w:lang w:bidi="en-US"/>
        </w:rPr>
        <w:t xml:space="preserve"> NEPA regulations</w:t>
      </w:r>
      <w:r w:rsidR="00F22D95">
        <w:rPr>
          <w:lang w:bidi="en-US"/>
        </w:rPr>
        <w:t xml:space="preserve"> because the F</w:t>
      </w:r>
      <w:r w:rsidR="00766142">
        <w:rPr>
          <w:lang w:bidi="en-US"/>
        </w:rPr>
        <w:t xml:space="preserve">orest </w:t>
      </w:r>
      <w:r w:rsidR="00F22D95">
        <w:rPr>
          <w:lang w:bidi="en-US"/>
        </w:rPr>
        <w:t>S</w:t>
      </w:r>
      <w:r w:rsidR="00766142">
        <w:rPr>
          <w:lang w:bidi="en-US"/>
        </w:rPr>
        <w:t>ervice</w:t>
      </w:r>
      <w:r w:rsidR="00F22D95">
        <w:rPr>
          <w:lang w:bidi="en-US"/>
        </w:rPr>
        <w:t xml:space="preserve"> failed to consider the cumulative impacts </w:t>
      </w:r>
      <w:r w:rsidR="00F22D95" w:rsidRPr="00A67F53">
        <w:rPr>
          <w:lang w:bidi="en-US"/>
        </w:rPr>
        <w:t xml:space="preserve">of the </w:t>
      </w:r>
      <w:r w:rsidR="00766142">
        <w:rPr>
          <w:lang w:bidi="en-US"/>
        </w:rPr>
        <w:t>POWLLA</w:t>
      </w:r>
      <w:r w:rsidR="00F22D95" w:rsidRPr="00A67F53">
        <w:rPr>
          <w:lang w:bidi="en-US"/>
        </w:rPr>
        <w:t xml:space="preserve"> Project</w:t>
      </w:r>
      <w:r w:rsidR="00120A39">
        <w:rPr>
          <w:lang w:bidi="en-US"/>
        </w:rPr>
        <w:t xml:space="preserve"> and that t</w:t>
      </w:r>
      <w:r w:rsidR="00F22D95">
        <w:rPr>
          <w:lang w:bidi="en-US"/>
        </w:rPr>
        <w:t>he agency never explains the resulting consequences for a particular species or a particular area due to habitat loss.</w:t>
      </w:r>
    </w:p>
    <w:p w14:paraId="2D19D985" w14:textId="53DAA37C" w:rsidR="00766142" w:rsidRDefault="00766142" w:rsidP="00766142">
      <w:r w:rsidRPr="006A2BE6">
        <w:rPr>
          <w:b/>
        </w:rPr>
        <w:t>Response:</w:t>
      </w:r>
      <w:r w:rsidRPr="006A2BE6">
        <w:t xml:space="preserve"> </w:t>
      </w:r>
      <w:r>
        <w:t xml:space="preserve">The FEIS, </w:t>
      </w:r>
      <w:r w:rsidRPr="00B35AA3">
        <w:t>in conjunction with the Activity Cards and Implementation Plan</w:t>
      </w:r>
      <w:r>
        <w:t>,</w:t>
      </w:r>
      <w:r w:rsidRPr="00B35AA3">
        <w:t xml:space="preserve"> displays the analysis that was completed for the project, describ</w:t>
      </w:r>
      <w:r>
        <w:t>es</w:t>
      </w:r>
      <w:r w:rsidRPr="00B35AA3">
        <w:t xml:space="preserve"> conditions </w:t>
      </w:r>
      <w:r>
        <w:t xml:space="preserve">that will be </w:t>
      </w:r>
      <w:r w:rsidRPr="00B35AA3">
        <w:t>targeted for treatments, what thresholds cannot be</w:t>
      </w:r>
      <w:r>
        <w:t xml:space="preserve"> exceeded in an area, or places</w:t>
      </w:r>
      <w:r w:rsidRPr="00B35AA3">
        <w:t xml:space="preserve"> limits on the intensity of specific activities. Appendix D</w:t>
      </w:r>
      <w:r w:rsidR="00620E1D">
        <w:t xml:space="preserve"> – Response to Comments on the draft </w:t>
      </w:r>
      <w:r w:rsidRPr="00B35AA3">
        <w:t>EIS responds to a similar comment.</w:t>
      </w:r>
      <w:r>
        <w:t xml:space="preserve"> </w:t>
      </w:r>
    </w:p>
    <w:p w14:paraId="53BA882D" w14:textId="61561113" w:rsidR="00766142" w:rsidRDefault="00766142" w:rsidP="00766142">
      <w:r>
        <w:t xml:space="preserve">The FEIS includes a detailed analysis of effects to wildlife habitat under each alternative (FEIS Issue 5). While the analysis was not specific to any given acre within the project area, it was specific to habitat types of particular species and included both the amount and quality of habitat. </w:t>
      </w:r>
      <w:r w:rsidRPr="00B35AA3">
        <w:t xml:space="preserve">The wildlife analysis also included discussion of specific </w:t>
      </w:r>
      <w:r>
        <w:t>types of</w:t>
      </w:r>
      <w:r w:rsidRPr="00B35AA3">
        <w:t xml:space="preserve"> landscape such as average snow habitat (</w:t>
      </w:r>
      <w:r>
        <w:t>productive old growth (POG)</w:t>
      </w:r>
      <w:r w:rsidRPr="00B35AA3">
        <w:t xml:space="preserve"> below 1,500 feet in elevation) and deep snow habitat (</w:t>
      </w:r>
      <w:r>
        <w:t>high-volume productive old growth (HPOG)</w:t>
      </w:r>
      <w:r w:rsidRPr="00B35AA3">
        <w:t xml:space="preserve"> on south-facing stands below 800 feet in elevation). These forest types and locations influence habitat suitability for deer, small mammals, land</w:t>
      </w:r>
      <w:r>
        <w:t xml:space="preserve"> </w:t>
      </w:r>
      <w:r w:rsidRPr="00B35AA3">
        <w:t>birds, wolves and bear. (FEIS, p. 175)</w:t>
      </w:r>
    </w:p>
    <w:p w14:paraId="3606FD6A" w14:textId="77777777" w:rsidR="00766142" w:rsidRPr="00B35AA3" w:rsidRDefault="00766142" w:rsidP="00766142">
      <w:r>
        <w:t>This analysis tiered to the Forest Plan which</w:t>
      </w:r>
      <w:r w:rsidRPr="004F6BD0">
        <w:t xml:space="preserve"> </w:t>
      </w:r>
      <w:r w:rsidRPr="00B35AA3">
        <w:t xml:space="preserve">requires planning alternatives be evaluated in terms of both amount and quality of habitat and of animal population trends of </w:t>
      </w:r>
      <w:r>
        <w:t>management indicator species (</w:t>
      </w:r>
      <w:r w:rsidRPr="00B35AA3">
        <w:t>MIS</w:t>
      </w:r>
      <w:r>
        <w:t>;</w:t>
      </w:r>
      <w:r w:rsidRPr="00B35AA3">
        <w:t xml:space="preserve"> CFR 219.19(a)(2))</w:t>
      </w:r>
      <w:r>
        <w:t xml:space="preserve">. </w:t>
      </w:r>
      <w:r w:rsidRPr="00B35AA3">
        <w:t xml:space="preserve">The </w:t>
      </w:r>
      <w:r>
        <w:t xml:space="preserve">analysis recognized that by adhering to the </w:t>
      </w:r>
      <w:r w:rsidRPr="00B35AA3">
        <w:t>Conservat</w:t>
      </w:r>
      <w:r>
        <w:t>ion Strategy, the forest would maintain</w:t>
      </w:r>
      <w:r w:rsidRPr="00B35AA3">
        <w:t xml:space="preserve"> old-growth associated species (e.g. marte</w:t>
      </w:r>
      <w:r>
        <w:t xml:space="preserve">n, goshawks, flying squirrels) and </w:t>
      </w:r>
      <w:r w:rsidRPr="00B35AA3">
        <w:t>even with full implementation of the Forest Plan</w:t>
      </w:r>
      <w:r>
        <w:t xml:space="preserve"> (which includes the timber land use designations on Prince of Wales Island) there would be a</w:t>
      </w:r>
      <w:r w:rsidRPr="00B35AA3">
        <w:t xml:space="preserve"> moderate to very high likelihood </w:t>
      </w:r>
      <w:r>
        <w:t xml:space="preserve">of </w:t>
      </w:r>
      <w:r w:rsidRPr="00B35AA3">
        <w:t>maintain</w:t>
      </w:r>
      <w:r>
        <w:t>ing</w:t>
      </w:r>
      <w:r w:rsidRPr="00B35AA3">
        <w:t xml:space="preserve"> viable, well-distributed populations (FEIS, p. 179)</w:t>
      </w:r>
      <w:r>
        <w:t>.</w:t>
      </w:r>
    </w:p>
    <w:p w14:paraId="4534A7E5" w14:textId="77777777" w:rsidR="00766142" w:rsidRPr="00DE79F0" w:rsidRDefault="00766142" w:rsidP="00766142">
      <w:pPr>
        <w:rPr>
          <w:rFonts w:eastAsia="Times New Roman" w:cs="Times New Roman"/>
          <w:b/>
          <w:szCs w:val="24"/>
        </w:rPr>
      </w:pPr>
      <w:r w:rsidRPr="00DE79F0">
        <w:rPr>
          <w:rFonts w:eastAsia="Times New Roman" w:cs="Times New Roman"/>
          <w:szCs w:val="24"/>
        </w:rPr>
        <w:lastRenderedPageBreak/>
        <w:t>The analysis regarding the potential impacts of proposed changes to suitable/available habitat is extensive and species</w:t>
      </w:r>
      <w:r>
        <w:rPr>
          <w:rFonts w:eastAsia="Times New Roman" w:cs="Times New Roman"/>
          <w:szCs w:val="24"/>
        </w:rPr>
        <w:t>-</w:t>
      </w:r>
      <w:r w:rsidRPr="00DE79F0">
        <w:rPr>
          <w:rFonts w:eastAsia="Times New Roman" w:cs="Times New Roman"/>
          <w:szCs w:val="24"/>
        </w:rPr>
        <w:t>specific, with analyses and findings well documented and consistent with applicable rules</w:t>
      </w:r>
      <w:r>
        <w:rPr>
          <w:rFonts w:eastAsia="Times New Roman" w:cs="Times New Roman"/>
          <w:szCs w:val="24"/>
        </w:rPr>
        <w:t xml:space="preserve">. </w:t>
      </w:r>
    </w:p>
    <w:p w14:paraId="7755F964" w14:textId="76891236" w:rsidR="00DE79F0" w:rsidRPr="00403303" w:rsidRDefault="00DE79F0" w:rsidP="00766142">
      <w:pPr>
        <w:rPr>
          <w:iCs/>
        </w:rPr>
      </w:pPr>
      <w:r w:rsidRPr="00620E1D">
        <w:rPr>
          <w:b/>
        </w:rPr>
        <w:t>Recommendation:</w:t>
      </w:r>
      <w:r w:rsidR="00766142" w:rsidRPr="00766142">
        <w:t xml:space="preserve"> </w:t>
      </w:r>
      <w:r w:rsidR="00766142" w:rsidRPr="007C3689">
        <w:t xml:space="preserve">Because the summaries of potential impacts to species resulting from changes in distribution and abundance of forest cover types are embedded throughout the body of the FEIS and supporting reports, I recommend that the </w:t>
      </w:r>
      <w:r w:rsidR="00766142">
        <w:t>R</w:t>
      </w:r>
      <w:r w:rsidR="00766142" w:rsidRPr="007C3689">
        <w:t xml:space="preserve">esponsible </w:t>
      </w:r>
      <w:r w:rsidR="00766142">
        <w:t>O</w:t>
      </w:r>
      <w:r w:rsidR="00766142" w:rsidRPr="007C3689">
        <w:t xml:space="preserve">fficial provide a summary table of cumulative impacts and conclusions tied to the type of analysis conducted for each species </w:t>
      </w:r>
      <w:r w:rsidR="00766142">
        <w:t>(</w:t>
      </w:r>
      <w:r w:rsidR="00766142">
        <w:rPr>
          <w:i/>
        </w:rPr>
        <w:t>e.g.</w:t>
      </w:r>
      <w:r w:rsidR="00766142" w:rsidRPr="007C3689">
        <w:t>RFSS-effects on individuals (MANLAA)</w:t>
      </w:r>
      <w:r w:rsidR="00766142">
        <w:t>;</w:t>
      </w:r>
      <w:r w:rsidR="00766142" w:rsidRPr="007C3689">
        <w:t xml:space="preserve"> MIS- effects on habitat and population trends</w:t>
      </w:r>
      <w:r w:rsidR="00766142">
        <w:t>;</w:t>
      </w:r>
      <w:r w:rsidR="00766142" w:rsidRPr="007C3689">
        <w:t xml:space="preserve"> endemics – effects on population viability/sustainability</w:t>
      </w:r>
      <w:r w:rsidR="00766142">
        <w:t>;</w:t>
      </w:r>
      <w:r w:rsidR="00766142" w:rsidRPr="007C3689">
        <w:t xml:space="preserve"> migratory birds- effects to individuals and populations (incidental take, but no effect to populations)</w:t>
      </w:r>
      <w:r w:rsidR="00766142">
        <w:t>)</w:t>
      </w:r>
      <w:r w:rsidR="00766142" w:rsidRPr="007C3689">
        <w:t>.</w:t>
      </w:r>
    </w:p>
    <w:p w14:paraId="384D60D2" w14:textId="77777777" w:rsidR="004F6BD0" w:rsidRPr="00B35AA3" w:rsidRDefault="004F6BD0" w:rsidP="004F6BD0"/>
    <w:p w14:paraId="0B883CEC" w14:textId="44E36C38" w:rsidR="00DE79F0" w:rsidRDefault="006A2BE6" w:rsidP="00DE79F0">
      <w:r>
        <w:rPr>
          <w:b/>
        </w:rPr>
        <w:t xml:space="preserve">Issue: </w:t>
      </w:r>
      <w:r w:rsidR="00DE79F0">
        <w:rPr>
          <w:b/>
        </w:rPr>
        <w:tab/>
      </w:r>
      <w:r w:rsidR="00766142" w:rsidRPr="00DE79F0">
        <w:t>You allege that t</w:t>
      </w:r>
      <w:r w:rsidR="00766142" w:rsidRPr="00DE79F0">
        <w:rPr>
          <w:lang w:bidi="en-US"/>
        </w:rPr>
        <w:t>he</w:t>
      </w:r>
      <w:r w:rsidR="00766142" w:rsidRPr="005D6A5A">
        <w:rPr>
          <w:lang w:bidi="en-US"/>
        </w:rPr>
        <w:t xml:space="preserve"> FEIS violates NEPA because the Forest Service fails to analyze </w:t>
      </w:r>
      <w:r w:rsidR="00766142">
        <w:rPr>
          <w:lang w:bidi="en-US"/>
        </w:rPr>
        <w:t xml:space="preserve">a </w:t>
      </w:r>
      <w:r w:rsidR="00766142" w:rsidRPr="005D6A5A">
        <w:rPr>
          <w:lang w:bidi="en-US"/>
        </w:rPr>
        <w:t xml:space="preserve">reasonable </w:t>
      </w:r>
      <w:r w:rsidR="00766142">
        <w:rPr>
          <w:lang w:bidi="en-US"/>
        </w:rPr>
        <w:t xml:space="preserve">range of </w:t>
      </w:r>
      <w:r w:rsidR="00766142" w:rsidRPr="005D6A5A">
        <w:rPr>
          <w:lang w:bidi="en-US"/>
        </w:rPr>
        <w:t xml:space="preserve">alternatives to the </w:t>
      </w:r>
      <w:r w:rsidR="00766142">
        <w:rPr>
          <w:lang w:bidi="en-US"/>
        </w:rPr>
        <w:t xml:space="preserve">POWLLA Project. You allege that this overall failure stems from the failure </w:t>
      </w:r>
      <w:r w:rsidR="00766142" w:rsidRPr="00394B06">
        <w:t>to consider any alternatives that vary the amount and timing of old-growth</w:t>
      </w:r>
      <w:r w:rsidR="00766142">
        <w:t xml:space="preserve"> timber sales over the 15 years, that</w:t>
      </w:r>
      <w:r w:rsidR="00766142" w:rsidRPr="00A256FD">
        <w:t xml:space="preserve"> </w:t>
      </w:r>
      <w:r w:rsidR="00766142" w:rsidRPr="006C7426">
        <w:t>the action alternatives are too similar to one another in fundamental ways with regard to logging a</w:t>
      </w:r>
      <w:r w:rsidR="00766142">
        <w:t xml:space="preserve">nd road construction activities, and finally because the FEIS  </w:t>
      </w:r>
      <w:r w:rsidR="00766142" w:rsidRPr="00A256FD">
        <w:t>fails to examine any alternatives to the location, timing, sequencing, and sizes of the specific logging and road construction activities the decision will authorize.</w:t>
      </w:r>
    </w:p>
    <w:p w14:paraId="0495DB0B" w14:textId="02813825" w:rsidR="00D426D6" w:rsidRDefault="00D426D6" w:rsidP="00D426D6">
      <w:r w:rsidRPr="007A778F">
        <w:rPr>
          <w:b/>
        </w:rPr>
        <w:t>Response:</w:t>
      </w:r>
      <w:r>
        <w:t xml:space="preserve"> </w:t>
      </w:r>
      <w:r w:rsidRPr="00B11FC2">
        <w:t>The range of alternatives do not have to display a wide range of variation between each aspect of the alternatives, rather 40 CFR 1502.14(a) requires agencies to “[r]igorously explore and objectively evaluate all reasonable alternatives, and for alternatives which were eliminated from detailed study, briefly discuss the reasons for their having been eliminated.” As established in case law interpreting the NEPA, the phrase “all reasonable alternatives” has not been interpreted to require that an infinite or unreasonable number of alternatives be analyzed, but does require a range of reasonable alternatives be analyzed</w:t>
      </w:r>
      <w:r w:rsidR="00766142">
        <w:t>;</w:t>
      </w:r>
      <w:r>
        <w:t xml:space="preserve"> </w:t>
      </w:r>
      <w:r w:rsidRPr="00B11FC2">
        <w:t xml:space="preserve">no specific number of alternatives is required or prescribed. </w:t>
      </w:r>
    </w:p>
    <w:p w14:paraId="0400D60B" w14:textId="77777777" w:rsidR="00D426D6" w:rsidRDefault="00D426D6" w:rsidP="00D426D6">
      <w:r w:rsidRPr="00C068D4">
        <w:t>Differences between alternatives are discussed in Chapter 2 of the FEIS (pp. 19-53). Although effects on certain resources may be similar between alternatives due to mitigation measures or other requirements within the Activity Cards or Implementation Plan, the alternatives include a range of actions including a range of old and young growth timber treatments, allowable maximum volume that could potentially be offered, and associated activities.</w:t>
      </w:r>
    </w:p>
    <w:p w14:paraId="2F201B72" w14:textId="4EB1BDFB" w:rsidR="00D426D6" w:rsidRDefault="00D426D6" w:rsidP="00D426D6">
      <w:pPr>
        <w:rPr>
          <w:rFonts w:eastAsia="Calibri"/>
          <w:iCs/>
        </w:rPr>
      </w:pPr>
      <w:r w:rsidRPr="006B7393">
        <w:rPr>
          <w:lang w:bidi="en-US"/>
        </w:rPr>
        <w:t xml:space="preserve">The new construction road mileages for each proposed action alternative </w:t>
      </w:r>
      <w:r>
        <w:rPr>
          <w:lang w:bidi="en-US"/>
        </w:rPr>
        <w:t xml:space="preserve">and the acres of timber harvested </w:t>
      </w:r>
      <w:r w:rsidR="00F62D61">
        <w:rPr>
          <w:lang w:bidi="en-US"/>
        </w:rPr>
        <w:t>specify</w:t>
      </w:r>
      <w:r w:rsidRPr="006B7393">
        <w:rPr>
          <w:lang w:bidi="en-US"/>
        </w:rPr>
        <w:t xml:space="preserve"> the upper limit</w:t>
      </w:r>
      <w:r>
        <w:rPr>
          <w:lang w:bidi="en-US"/>
        </w:rPr>
        <w:t xml:space="preserve"> permitted under e</w:t>
      </w:r>
      <w:r w:rsidRPr="006B7393">
        <w:rPr>
          <w:lang w:bidi="en-US"/>
        </w:rPr>
        <w:t>ach alternative.  As explained in the FEIS (p.22), there isn’t an alternative that would harvest all of the stands, nor construct all of the</w:t>
      </w:r>
      <w:r>
        <w:rPr>
          <w:lang w:bidi="en-US"/>
        </w:rPr>
        <w:t xml:space="preserve"> estimated proposed roads. The </w:t>
      </w:r>
      <w:r w:rsidR="00F954A5">
        <w:rPr>
          <w:lang w:bidi="en-US"/>
        </w:rPr>
        <w:t xml:space="preserve">Responsible Official </w:t>
      </w:r>
      <w:r w:rsidRPr="006B7393">
        <w:rPr>
          <w:lang w:bidi="en-US"/>
        </w:rPr>
        <w:t xml:space="preserve">provided </w:t>
      </w:r>
      <w:r>
        <w:rPr>
          <w:lang w:bidi="en-US"/>
        </w:rPr>
        <w:t xml:space="preserve">a reasonable range of </w:t>
      </w:r>
      <w:r w:rsidRPr="006B7393">
        <w:rPr>
          <w:lang w:bidi="en-US"/>
        </w:rPr>
        <w:t xml:space="preserve">alternatives, each with different estimated needed road miles (FEIS, Table 86). The construction will only be for the roads needed to harvest the selected stands to meet the designed harvest level. Although the exact location and length of new road construction will not be identified until the implementation phase, the selection and implementation will be guided by the Activity Cards (FEIS, Appendix A) and the Implementation Plan </w:t>
      </w:r>
      <w:r w:rsidRPr="006B7393">
        <w:t>(FEIS, Appendix B).</w:t>
      </w:r>
      <w:r w:rsidRPr="006B7393">
        <w:rPr>
          <w:rFonts w:eastAsia="Calibri"/>
          <w:iCs/>
        </w:rPr>
        <w:t xml:space="preserve"> </w:t>
      </w:r>
    </w:p>
    <w:p w14:paraId="7DC9A7C5" w14:textId="005F89A1" w:rsidR="00D426D6" w:rsidRDefault="00D426D6" w:rsidP="00D426D6">
      <w:r w:rsidRPr="005E3399">
        <w:t>The record and decision fully comply with the applicable rules and regulations to consider a reasonable range of alternatives</w:t>
      </w:r>
      <w:r w:rsidR="00F62D61">
        <w:t xml:space="preserve"> that respond</w:t>
      </w:r>
      <w:r>
        <w:t xml:space="preserve"> to the significant issues.</w:t>
      </w:r>
    </w:p>
    <w:p w14:paraId="3C363C15" w14:textId="77777777" w:rsidR="00D426D6" w:rsidRDefault="00D426D6" w:rsidP="00B8016C">
      <w:pPr>
        <w:rPr>
          <w:b/>
        </w:rPr>
      </w:pPr>
    </w:p>
    <w:p w14:paraId="07ABD3DD" w14:textId="77777777" w:rsidR="00D426D6" w:rsidRPr="00D426D6" w:rsidRDefault="00D426D6" w:rsidP="00AD5216">
      <w:pPr>
        <w:pStyle w:val="Heading3"/>
        <w:spacing w:before="0" w:after="120"/>
        <w:rPr>
          <w:rFonts w:asciiTheme="minorHAnsi" w:hAnsiTheme="minorHAnsi" w:cstheme="minorHAnsi"/>
          <w:color w:val="auto"/>
          <w:sz w:val="22"/>
          <w:szCs w:val="22"/>
        </w:rPr>
      </w:pPr>
      <w:r w:rsidRPr="00D426D6">
        <w:rPr>
          <w:rFonts w:asciiTheme="minorHAnsi" w:hAnsiTheme="minorHAnsi" w:cstheme="minorHAnsi"/>
          <w:b/>
          <w:color w:val="auto"/>
          <w:sz w:val="22"/>
          <w:szCs w:val="22"/>
        </w:rPr>
        <w:t xml:space="preserve">Issue: </w:t>
      </w:r>
      <w:r w:rsidRPr="00D426D6">
        <w:rPr>
          <w:rFonts w:asciiTheme="minorHAnsi" w:hAnsiTheme="minorHAnsi" w:cstheme="minorHAnsi"/>
          <w:b/>
          <w:color w:val="auto"/>
          <w:sz w:val="22"/>
          <w:szCs w:val="22"/>
        </w:rPr>
        <w:tab/>
      </w:r>
      <w:r w:rsidRPr="00D426D6">
        <w:rPr>
          <w:rFonts w:asciiTheme="minorHAnsi" w:hAnsiTheme="minorHAnsi" w:cstheme="minorHAnsi"/>
          <w:color w:val="auto"/>
          <w:sz w:val="22"/>
          <w:szCs w:val="22"/>
        </w:rPr>
        <w:t>You allege that</w:t>
      </w:r>
      <w:r w:rsidRPr="00D426D6">
        <w:rPr>
          <w:rFonts w:asciiTheme="minorHAnsi" w:hAnsiTheme="minorHAnsi" w:cstheme="minorHAnsi"/>
          <w:b/>
          <w:color w:val="auto"/>
          <w:sz w:val="22"/>
          <w:szCs w:val="22"/>
        </w:rPr>
        <w:t xml:space="preserve"> </w:t>
      </w:r>
      <w:r w:rsidRPr="00D426D6">
        <w:rPr>
          <w:rFonts w:asciiTheme="minorHAnsi" w:hAnsiTheme="minorHAnsi" w:cstheme="minorHAnsi"/>
          <w:color w:val="auto"/>
          <w:sz w:val="22"/>
          <w:szCs w:val="22"/>
        </w:rPr>
        <w:t>The FEIS violates NEPA because it fails to address the</w:t>
      </w:r>
      <w:r>
        <w:rPr>
          <w:rFonts w:asciiTheme="minorHAnsi" w:hAnsiTheme="minorHAnsi" w:cstheme="minorHAnsi"/>
          <w:color w:val="auto"/>
          <w:sz w:val="22"/>
          <w:szCs w:val="22"/>
        </w:rPr>
        <w:t xml:space="preserve"> effects of</w:t>
      </w:r>
      <w:r w:rsidRPr="00D426D6">
        <w:rPr>
          <w:rFonts w:asciiTheme="minorHAnsi" w:hAnsiTheme="minorHAnsi" w:cstheme="minorHAnsi"/>
          <w:color w:val="auto"/>
          <w:sz w:val="22"/>
          <w:szCs w:val="22"/>
        </w:rPr>
        <w:t xml:space="preserve"> and need for, site- specific mitigation measures.</w:t>
      </w:r>
    </w:p>
    <w:p w14:paraId="6E94A982" w14:textId="77777777" w:rsidR="00F62D61" w:rsidRDefault="00AD5216" w:rsidP="00AD5216">
      <w:r>
        <w:rPr>
          <w:b/>
        </w:rPr>
        <w:t xml:space="preserve">Response:  </w:t>
      </w:r>
      <w:r w:rsidRPr="00AD5216">
        <w:t xml:space="preserve">Mitigation is built into the alternative design for the </w:t>
      </w:r>
      <w:r>
        <w:t xml:space="preserve">project as needed. </w:t>
      </w:r>
      <w:r w:rsidRPr="00E51838">
        <w:rPr>
          <w:rFonts w:eastAsia="Calibri"/>
        </w:rPr>
        <w:t xml:space="preserve">Appendix </w:t>
      </w:r>
      <w:r w:rsidR="00F62D61">
        <w:rPr>
          <w:rFonts w:eastAsia="Calibri"/>
        </w:rPr>
        <w:t>2 (Implementation Plan) of the d</w:t>
      </w:r>
      <w:r w:rsidRPr="00E51838">
        <w:rPr>
          <w:rFonts w:eastAsia="Calibri"/>
        </w:rPr>
        <w:t xml:space="preserve">raft ROD outlines the process (pp. 2-5 to 2-8) the Forest Service resource specialists will follow for implementation of each activity to </w:t>
      </w:r>
      <w:r>
        <w:rPr>
          <w:rFonts w:eastAsia="Calibri"/>
        </w:rPr>
        <w:t xml:space="preserve">ensure </w:t>
      </w:r>
      <w:r w:rsidRPr="00E51838">
        <w:rPr>
          <w:rFonts w:eastAsia="Calibri"/>
        </w:rPr>
        <w:t>site-</w:t>
      </w:r>
      <w:r>
        <w:rPr>
          <w:rFonts w:eastAsia="Calibri"/>
        </w:rPr>
        <w:t>specific mitigation measures are applied,</w:t>
      </w:r>
      <w:r w:rsidRPr="00E51838">
        <w:rPr>
          <w:rFonts w:eastAsia="Calibri"/>
        </w:rPr>
        <w:t xml:space="preserve"> consistent with the ROD and Appendix 1, and as required by the Forest Plan, Forest Service Handbook and Manual, and other applicable direction, including NEPA.  </w:t>
      </w:r>
      <w:r>
        <w:t xml:space="preserve">The FEIS (p. 2-34) discusses - Design Criteria and Mitigation Common to All </w:t>
      </w:r>
      <w:r w:rsidR="00F62D61">
        <w:t xml:space="preserve">Action Alternatives and states: </w:t>
      </w:r>
    </w:p>
    <w:p w14:paraId="65EB7DC7" w14:textId="5837E4B3" w:rsidR="00AD5216" w:rsidRDefault="00AD5216" w:rsidP="00F62D61">
      <w:pPr>
        <w:ind w:left="720"/>
      </w:pPr>
      <w:r>
        <w:t>“</w:t>
      </w:r>
      <w:r w:rsidRPr="00AF2321">
        <w:t>Project-specific design criteria and mitigation measures are included as part of the action alternatives, as applicable, and described in the Activity Cards, Appendix A. The Activity Cards describe each potential activity and the related resource considerations. Resource specialists used on-the-ground inventories, computer (GIS) data, and aerial photographs to assess project area conditions and resource-specific concerns, describing on the cards how these concerns would be mitigated (if not completely avoided) for each activity. See Appendix A. Resource concerns and mitigation measures may be refined further by specialists after specific activity locations and details are identified, and documented through the Implementation Plan process.</w:t>
      </w:r>
      <w:r>
        <w:t>”</w:t>
      </w:r>
    </w:p>
    <w:p w14:paraId="164539DA" w14:textId="77777777" w:rsidR="00AD5216" w:rsidRPr="00CA13B1" w:rsidRDefault="00AD5216" w:rsidP="00AD5216">
      <w:pPr>
        <w:rPr>
          <w:rFonts w:eastAsia="Calibri"/>
        </w:rPr>
      </w:pPr>
      <w:r w:rsidRPr="00E51838">
        <w:rPr>
          <w:rFonts w:eastAsia="Calibri"/>
        </w:rPr>
        <w:t xml:space="preserve">The POWLLA project fully complies with NEPA requirements related to </w:t>
      </w:r>
      <w:r>
        <w:rPr>
          <w:rFonts w:eastAsia="Calibri"/>
        </w:rPr>
        <w:t>disclosing the effects of and need for, and incorporation of, mitigation measures.</w:t>
      </w:r>
    </w:p>
    <w:p w14:paraId="78C90BA7" w14:textId="77777777" w:rsidR="00D426D6" w:rsidRDefault="00D426D6" w:rsidP="00B8016C">
      <w:pPr>
        <w:rPr>
          <w:b/>
        </w:rPr>
      </w:pPr>
    </w:p>
    <w:p w14:paraId="6125EB6B" w14:textId="3C360BD2" w:rsidR="00F62D61" w:rsidRDefault="00F62D61" w:rsidP="00F62D61">
      <w:pPr>
        <w:rPr>
          <w:lang w:bidi="en-US"/>
        </w:rPr>
      </w:pPr>
      <w:r>
        <w:rPr>
          <w:b/>
        </w:rPr>
        <w:t xml:space="preserve">Issue: </w:t>
      </w:r>
      <w:r>
        <w:t>You allege that t</w:t>
      </w:r>
      <w:r w:rsidRPr="00780077">
        <w:rPr>
          <w:lang w:bidi="en-US"/>
        </w:rPr>
        <w:t xml:space="preserve">he Forest Service violates </w:t>
      </w:r>
      <w:r>
        <w:rPr>
          <w:lang w:bidi="en-US"/>
        </w:rPr>
        <w:t>the National Forest Management Act (</w:t>
      </w:r>
      <w:r w:rsidRPr="00780077">
        <w:rPr>
          <w:lang w:bidi="en-US"/>
        </w:rPr>
        <w:t>NFMA</w:t>
      </w:r>
      <w:r>
        <w:rPr>
          <w:lang w:bidi="en-US"/>
        </w:rPr>
        <w:t>)</w:t>
      </w:r>
      <w:r w:rsidRPr="00780077">
        <w:rPr>
          <w:lang w:bidi="en-US"/>
        </w:rPr>
        <w:t xml:space="preserve"> by failing to comply with the </w:t>
      </w:r>
      <w:r w:rsidR="00620E1D">
        <w:rPr>
          <w:lang w:bidi="en-US"/>
        </w:rPr>
        <w:t>F</w:t>
      </w:r>
      <w:r w:rsidRPr="00780077">
        <w:rPr>
          <w:lang w:bidi="en-US"/>
        </w:rPr>
        <w:t>orest Plan’s standards gove</w:t>
      </w:r>
      <w:r>
        <w:rPr>
          <w:lang w:bidi="en-US"/>
        </w:rPr>
        <w:t>rning logging and road building, in that</w:t>
      </w:r>
      <w:r w:rsidRPr="00780077">
        <w:rPr>
          <w:lang w:bidi="en-US"/>
        </w:rPr>
        <w:t xml:space="preserve"> </w:t>
      </w:r>
      <w:r>
        <w:rPr>
          <w:lang w:bidi="en-US"/>
        </w:rPr>
        <w:t>t</w:t>
      </w:r>
      <w:r w:rsidRPr="00780077">
        <w:rPr>
          <w:lang w:bidi="en-US"/>
        </w:rPr>
        <w:t xml:space="preserve">he Forest Service is required to provide unit and road cards and make other site-specific assessments and evaluations of timber resources, logging and road building impacts, and the necessary mitigation measures to inform the NEPA analysis prior to project approval. </w:t>
      </w:r>
      <w:r>
        <w:rPr>
          <w:lang w:bidi="en-US"/>
        </w:rPr>
        <w:t>According to your objection, t</w:t>
      </w:r>
      <w:r w:rsidRPr="00780077">
        <w:rPr>
          <w:lang w:bidi="en-US"/>
        </w:rPr>
        <w:t>he Forest Service fails to comply with these standards, rendering the decision unlawful under NFMA.</w:t>
      </w:r>
    </w:p>
    <w:p w14:paraId="06C5404A" w14:textId="77777777" w:rsidR="00F62D61" w:rsidRDefault="006E05C9" w:rsidP="00045FBB">
      <w:r w:rsidRPr="006E05C9">
        <w:rPr>
          <w:rFonts w:eastAsia="Calibri"/>
          <w:b/>
        </w:rPr>
        <w:t>Response:</w:t>
      </w:r>
      <w:r>
        <w:rPr>
          <w:rFonts w:eastAsia="Calibri"/>
        </w:rPr>
        <w:t xml:space="preserve"> </w:t>
      </w:r>
      <w:r w:rsidR="00045FBB" w:rsidRPr="00045FBB">
        <w:t xml:space="preserve">The Forest Plan FEIS TIM3IC provides guidelines for information gathering and maintenance about timber. This guideline states: </w:t>
      </w:r>
    </w:p>
    <w:p w14:paraId="2DC8A6DA" w14:textId="77777777" w:rsidR="00F62D61" w:rsidRDefault="00045FBB" w:rsidP="00F62D61">
      <w:pPr>
        <w:ind w:left="720"/>
      </w:pPr>
      <w:r w:rsidRPr="00045FBB">
        <w:t xml:space="preserve">“Consider the management prescription of the LUDs within the project area in project design and environmental analysis for timber activities. Timber harvest unit cards will document resource concerns and protection measures. The unit cards, including a map with relevant resource features, will be provided electronically when Draft or Final NEPA documents and decisions are published.  (Consult Tongass National Forest supplement 1909.15-2015-1.)”   </w:t>
      </w:r>
    </w:p>
    <w:p w14:paraId="2E06F5D4" w14:textId="1AE50E67" w:rsidR="00F62D61" w:rsidRDefault="00F62D61" w:rsidP="00F62D61">
      <w:r w:rsidRPr="00045FBB">
        <w:t>As indicated, this direction about when to provide unit cards in electronic form tiers to the F</w:t>
      </w:r>
      <w:r>
        <w:t>orest Service Handbook</w:t>
      </w:r>
      <w:r w:rsidRPr="00045FBB">
        <w:t xml:space="preserve"> T</w:t>
      </w:r>
      <w:r>
        <w:t>ongass National Forest</w:t>
      </w:r>
      <w:r w:rsidRPr="00045FBB">
        <w:t xml:space="preserve"> Supplement 1909.15-2015-1 which was removed under order of the Chief</w:t>
      </w:r>
      <w:r>
        <w:t xml:space="preserve">. </w:t>
      </w:r>
      <w:r w:rsidRPr="00045FBB">
        <w:t>As the Forest Plan follows the</w:t>
      </w:r>
      <w:r>
        <w:t xml:space="preserve"> higher-level of direction, the</w:t>
      </w:r>
      <w:r w:rsidRPr="00045FBB">
        <w:t xml:space="preserve"> timing for when electronic unit cards are provided is no longer applicable</w:t>
      </w:r>
      <w:r>
        <w:t xml:space="preserve">. </w:t>
      </w:r>
      <w:r w:rsidRPr="00045FBB">
        <w:t>Instead, the POWLLA FEIS identifies that unit</w:t>
      </w:r>
      <w:r>
        <w:t>-</w:t>
      </w:r>
      <w:r w:rsidRPr="00045FBB">
        <w:t xml:space="preserve">specific cards will be developed when specific harvest units and road locations are determined. The final road and </w:t>
      </w:r>
      <w:r>
        <w:t>A</w:t>
      </w:r>
      <w:r w:rsidRPr="00045FBB">
        <w:t xml:space="preserve">ctivity </w:t>
      </w:r>
      <w:r>
        <w:t>C</w:t>
      </w:r>
      <w:r w:rsidRPr="00045FBB">
        <w:t xml:space="preserve">ards, in combination with the Record of Decision and Implementation Plan, will be used throughout the implementation process to ensure that all aspects of the project are implemented within the scope of effects analyzed in the POWLLA FEIS. Resource specialists would review and/or survey field locations before any activity would be implemented </w:t>
      </w:r>
      <w:r>
        <w:t>(Draft ROD Appendix 1, p. 1-1) and</w:t>
      </w:r>
      <w:r w:rsidRPr="00045FBB">
        <w:t xml:space="preserve"> </w:t>
      </w:r>
      <w:r>
        <w:t>u</w:t>
      </w:r>
      <w:r w:rsidRPr="00045FBB">
        <w:t xml:space="preserve">nit </w:t>
      </w:r>
      <w:r>
        <w:t>c</w:t>
      </w:r>
      <w:r w:rsidRPr="00045FBB">
        <w:t>ards would be made available for public review within the</w:t>
      </w:r>
      <w:r>
        <w:t xml:space="preserve"> process outlined in Appendix 2</w:t>
      </w:r>
      <w:r w:rsidRPr="00045FBB">
        <w:t>.</w:t>
      </w:r>
    </w:p>
    <w:p w14:paraId="5C11864D" w14:textId="77777777" w:rsidR="00F62D61" w:rsidRPr="005A7CC1" w:rsidRDefault="00F62D61" w:rsidP="00F62D61">
      <w:r w:rsidRPr="005A7CC1">
        <w:t xml:space="preserve">I found that the Activity Cards, combined with the process for developing and making </w:t>
      </w:r>
      <w:r>
        <w:t>u</w:t>
      </w:r>
      <w:r w:rsidRPr="005A7CC1">
        <w:t xml:space="preserve">nit </w:t>
      </w:r>
      <w:r>
        <w:t>c</w:t>
      </w:r>
      <w:r w:rsidRPr="005A7CC1">
        <w:t>ards publicly available, is an alternative way to achieve the intent of the guideline in TIM3IC</w:t>
      </w:r>
      <w:r>
        <w:t xml:space="preserve"> and</w:t>
      </w:r>
      <w:r w:rsidRPr="005A7CC1">
        <w:t xml:space="preserve"> fully complies with NEPA requirements and provides sufficient information to inform the </w:t>
      </w:r>
      <w:r>
        <w:t>R</w:t>
      </w:r>
      <w:r w:rsidRPr="005A7CC1">
        <w:t xml:space="preserve">esponsible </w:t>
      </w:r>
      <w:r>
        <w:t>O</w:t>
      </w:r>
      <w:r w:rsidRPr="005A7CC1">
        <w:t>fficial’s decision.</w:t>
      </w:r>
      <w:r>
        <w:t xml:space="preserve"> However, in response to this objection I am directing the Responsible Official to further clarify his rationale for use and timing of activity and unit cards.</w:t>
      </w:r>
    </w:p>
    <w:p w14:paraId="5F60EECC" w14:textId="3CA346B2" w:rsidR="00BF4B34" w:rsidRPr="00BF4B34" w:rsidRDefault="006E05C9" w:rsidP="00F954A5">
      <w:pPr>
        <w:pStyle w:val="Heading2"/>
        <w:rPr>
          <w:b w:val="0"/>
        </w:rPr>
      </w:pPr>
      <w:r w:rsidRPr="00620E1D">
        <w:t xml:space="preserve">Instruction: </w:t>
      </w:r>
      <w:r w:rsidR="00BF4B34" w:rsidRPr="00620E1D">
        <w:rPr>
          <w:b w:val="0"/>
        </w:rPr>
        <w:t xml:space="preserve">The </w:t>
      </w:r>
      <w:r w:rsidR="00F954A5" w:rsidRPr="00620E1D">
        <w:rPr>
          <w:b w:val="0"/>
        </w:rPr>
        <w:t xml:space="preserve">Responsible Official </w:t>
      </w:r>
      <w:r w:rsidR="00BF4B34" w:rsidRPr="00620E1D">
        <w:rPr>
          <w:b w:val="0"/>
        </w:rPr>
        <w:t>will clea</w:t>
      </w:r>
      <w:r w:rsidR="0005685B" w:rsidRPr="00620E1D">
        <w:rPr>
          <w:b w:val="0"/>
        </w:rPr>
        <w:t>rly explain the rationale of</w:t>
      </w:r>
      <w:r w:rsidR="00BF4B34" w:rsidRPr="00620E1D">
        <w:rPr>
          <w:b w:val="0"/>
        </w:rPr>
        <w:t xml:space="preserve"> developing and making public the activity cards and i</w:t>
      </w:r>
      <w:r w:rsidR="0005685B" w:rsidRPr="00620E1D">
        <w:rPr>
          <w:b w:val="0"/>
        </w:rPr>
        <w:t>mplementation plan best informs</w:t>
      </w:r>
      <w:r w:rsidR="00BF4B34" w:rsidRPr="00620E1D">
        <w:rPr>
          <w:b w:val="0"/>
        </w:rPr>
        <w:t xml:space="preserve"> the public during this stage of the decision process and how </w:t>
      </w:r>
      <w:r w:rsidR="0005685B" w:rsidRPr="00620E1D">
        <w:rPr>
          <w:b w:val="0"/>
        </w:rPr>
        <w:t>the development of</w:t>
      </w:r>
      <w:r w:rsidR="00BF4B34" w:rsidRPr="00620E1D">
        <w:rPr>
          <w:b w:val="0"/>
        </w:rPr>
        <w:t xml:space="preserve"> unit cards, as specific harvest units and transportation routes are identified, is the most appropriate approach for this project, and meets the intent of the Forest Plan guideline. The </w:t>
      </w:r>
      <w:r w:rsidR="00F954A5" w:rsidRPr="00620E1D">
        <w:rPr>
          <w:b w:val="0"/>
        </w:rPr>
        <w:t xml:space="preserve">Responsible Official </w:t>
      </w:r>
      <w:r w:rsidR="00BF4B34" w:rsidRPr="00620E1D">
        <w:rPr>
          <w:b w:val="0"/>
        </w:rPr>
        <w:t>should</w:t>
      </w:r>
      <w:r w:rsidR="0005685B" w:rsidRPr="00620E1D">
        <w:rPr>
          <w:b w:val="0"/>
        </w:rPr>
        <w:t xml:space="preserve"> also tie into this explanation</w:t>
      </w:r>
      <w:r w:rsidR="00BF4B34" w:rsidRPr="00620E1D">
        <w:rPr>
          <w:b w:val="0"/>
        </w:rPr>
        <w:t xml:space="preserve"> </w:t>
      </w:r>
      <w:r w:rsidR="0005685B" w:rsidRPr="00620E1D">
        <w:rPr>
          <w:b w:val="0"/>
        </w:rPr>
        <w:t>the</w:t>
      </w:r>
      <w:r w:rsidR="00BF4B34" w:rsidRPr="00620E1D">
        <w:rPr>
          <w:b w:val="0"/>
        </w:rPr>
        <w:t xml:space="preserve"> opportunities for public input to the proposed sales and </w:t>
      </w:r>
      <w:r w:rsidR="0005685B" w:rsidRPr="00620E1D">
        <w:rPr>
          <w:b w:val="0"/>
        </w:rPr>
        <w:t>by what means</w:t>
      </w:r>
      <w:r w:rsidR="00BF4B34" w:rsidRPr="00620E1D">
        <w:rPr>
          <w:b w:val="0"/>
        </w:rPr>
        <w:t xml:space="preserve"> the unit and transportation cards would be available and used for this process.</w:t>
      </w:r>
    </w:p>
    <w:p w14:paraId="0425F763" w14:textId="77777777" w:rsidR="006E05C9" w:rsidRDefault="006E05C9" w:rsidP="00AD5216">
      <w:pPr>
        <w:rPr>
          <w:lang w:bidi="en-US"/>
        </w:rPr>
      </w:pPr>
    </w:p>
    <w:p w14:paraId="3F9045B7" w14:textId="00705481" w:rsidR="003329E0" w:rsidRDefault="003329E0" w:rsidP="003329E0">
      <w:pPr>
        <w:rPr>
          <w:rFonts w:eastAsia="Calibri"/>
        </w:rPr>
      </w:pPr>
      <w:r w:rsidRPr="003329E0">
        <w:rPr>
          <w:b/>
          <w:lang w:bidi="en-US"/>
        </w:rPr>
        <w:t>Issue:</w:t>
      </w:r>
      <w:r>
        <w:rPr>
          <w:b/>
          <w:lang w:bidi="en-US"/>
        </w:rPr>
        <w:tab/>
      </w:r>
      <w:r>
        <w:rPr>
          <w:rFonts w:eastAsia="Calibri"/>
        </w:rPr>
        <w:t>You allege that t</w:t>
      </w:r>
      <w:r w:rsidRPr="008F2CAA">
        <w:rPr>
          <w:rFonts w:eastAsia="Calibri"/>
        </w:rPr>
        <w:t>he Forest Service fails to comply with the Forest Plan’s standards governing the site-specific impacts analysis for clearcutting. In so doing, the agency violates NFMA.</w:t>
      </w:r>
    </w:p>
    <w:p w14:paraId="1CCF5287" w14:textId="70668AD6" w:rsidR="003329E0" w:rsidRDefault="003329E0" w:rsidP="003329E0">
      <w:pPr>
        <w:rPr>
          <w:rFonts w:eastAsia="Calibri"/>
        </w:rPr>
      </w:pPr>
      <w:r w:rsidRPr="003329E0">
        <w:rPr>
          <w:rFonts w:eastAsia="Calibri"/>
          <w:b/>
        </w:rPr>
        <w:t xml:space="preserve">Response: </w:t>
      </w:r>
      <w:r>
        <w:rPr>
          <w:rFonts w:eastAsia="Calibri"/>
        </w:rPr>
        <w:t>The d</w:t>
      </w:r>
      <w:r w:rsidR="00F62D61">
        <w:rPr>
          <w:rFonts w:eastAsia="Calibri"/>
        </w:rPr>
        <w:t>raft ROD</w:t>
      </w:r>
      <w:r w:rsidRPr="00C40F63">
        <w:rPr>
          <w:rFonts w:eastAsia="Calibri"/>
        </w:rPr>
        <w:t xml:space="preserve"> under “Findings Required by Law and Regulation,” describes the specific determinations (i.e., disclosures) required by the NFMA and pertinent to the decision</w:t>
      </w:r>
      <w:r w:rsidR="00F62D61">
        <w:rPr>
          <w:rFonts w:eastAsia="Calibri"/>
        </w:rPr>
        <w:t xml:space="preserve"> (draft ROD p. 18). They include</w:t>
      </w:r>
      <w:r w:rsidRPr="00C40F63">
        <w:rPr>
          <w:rFonts w:eastAsia="Calibri"/>
        </w:rPr>
        <w:t xml:space="preserve">, among others, the determination of Clearcutting as the Optimal Method of Harvesting. </w:t>
      </w:r>
      <w:r>
        <w:rPr>
          <w:rFonts w:eastAsia="Calibri"/>
        </w:rPr>
        <w:t xml:space="preserve"> The FEIS and </w:t>
      </w:r>
      <w:r w:rsidR="00F62D61">
        <w:rPr>
          <w:rFonts w:eastAsia="Calibri"/>
        </w:rPr>
        <w:t xml:space="preserve">draft </w:t>
      </w:r>
      <w:r>
        <w:rPr>
          <w:rFonts w:eastAsia="Calibri"/>
        </w:rPr>
        <w:t>ROD will tier to the Forest Plan direction which states that a</w:t>
      </w:r>
      <w:r w:rsidRPr="00C40F63">
        <w:rPr>
          <w:rFonts w:eastAsia="Calibri"/>
        </w:rPr>
        <w:t>t the time of implementation of project(s), site-specific silvicultural prescriptions will be developed prescribing the treatment method for each treatment unit. These prescriptions will be developed to implement the decision identified in the ROD, and includes activities designed to preclude or minimize the occurrence of potentially adverse impacts. Specific to clearcutting, it is determined to be the optimal prescription where potential impacts could be attributed to windthrow where the potential is high, to remove or reduce mistletoe infestations, or to reduce wounding due to logging damage to adjacent trees, as applicable.</w:t>
      </w:r>
    </w:p>
    <w:p w14:paraId="589DBEBD" w14:textId="28E939DE" w:rsidR="001D3904" w:rsidRPr="00C40F63" w:rsidRDefault="001D3904" w:rsidP="003329E0">
      <w:pPr>
        <w:rPr>
          <w:rFonts w:eastAsia="Calibri"/>
        </w:rPr>
      </w:pPr>
      <w:r>
        <w:rPr>
          <w:rFonts w:eastAsia="Calibri"/>
        </w:rPr>
        <w:t>As the FEIS and ROD tier to the direction in the Forest Plan, the decisi</w:t>
      </w:r>
      <w:r w:rsidR="00F62D61">
        <w:rPr>
          <w:rFonts w:eastAsia="Calibri"/>
        </w:rPr>
        <w:t>on complies with the plan and is</w:t>
      </w:r>
      <w:r>
        <w:rPr>
          <w:rFonts w:eastAsia="Calibri"/>
        </w:rPr>
        <w:t xml:space="preserve"> not in violation of NFMA.</w:t>
      </w:r>
    </w:p>
    <w:p w14:paraId="36AB2D41" w14:textId="77777777" w:rsidR="003329E0" w:rsidRDefault="003329E0" w:rsidP="003329E0">
      <w:pPr>
        <w:rPr>
          <w:rFonts w:eastAsia="Calibri"/>
        </w:rPr>
      </w:pPr>
    </w:p>
    <w:p w14:paraId="6531DD21" w14:textId="165DBDE9" w:rsidR="00F62D61" w:rsidRPr="00684559" w:rsidRDefault="001D3904" w:rsidP="00F62D61">
      <w:pPr>
        <w:rPr>
          <w:lang w:bidi="en-US"/>
        </w:rPr>
      </w:pPr>
      <w:r w:rsidRPr="001D3904">
        <w:rPr>
          <w:rFonts w:eastAsia="Calibri"/>
          <w:b/>
        </w:rPr>
        <w:t>Issue:</w:t>
      </w:r>
      <w:r>
        <w:rPr>
          <w:rFonts w:eastAsia="Calibri"/>
        </w:rPr>
        <w:t xml:space="preserve"> </w:t>
      </w:r>
      <w:r>
        <w:rPr>
          <w:lang w:bidi="en-US"/>
        </w:rPr>
        <w:tab/>
      </w:r>
      <w:r w:rsidR="00F62D61">
        <w:rPr>
          <w:lang w:bidi="en-US"/>
        </w:rPr>
        <w:t>You allege t</w:t>
      </w:r>
      <w:r w:rsidR="00F62D61" w:rsidRPr="00684559">
        <w:rPr>
          <w:lang w:bidi="en-US"/>
        </w:rPr>
        <w:t>he Forest Service errs in failing to account for the Project</w:t>
      </w:r>
      <w:r w:rsidR="00F62D61">
        <w:rPr>
          <w:lang w:bidi="en-US"/>
        </w:rPr>
        <w:t>’s impacts on subsistence users and that t</w:t>
      </w:r>
      <w:r w:rsidR="00F62D61" w:rsidRPr="003D23B4">
        <w:rPr>
          <w:lang w:bidi="en-US"/>
        </w:rPr>
        <w:t xml:space="preserve">he agency’s analysis fails to provide the required </w:t>
      </w:r>
      <w:r w:rsidR="00F62D61">
        <w:rPr>
          <w:lang w:bidi="en-US"/>
        </w:rPr>
        <w:t>Alaska National Interest Lands Conservation Act (</w:t>
      </w:r>
      <w:r w:rsidR="00F62D61" w:rsidRPr="003D23B4">
        <w:rPr>
          <w:lang w:bidi="en-US"/>
        </w:rPr>
        <w:t>ANILCA</w:t>
      </w:r>
      <w:r w:rsidR="00F62D61">
        <w:rPr>
          <w:lang w:bidi="en-US"/>
        </w:rPr>
        <w:t>)</w:t>
      </w:r>
      <w:r w:rsidR="00F62D61" w:rsidRPr="003D23B4">
        <w:rPr>
          <w:lang w:bidi="en-US"/>
        </w:rPr>
        <w:t xml:space="preserve"> findings or NFMA justification and violates the Forest Plan.</w:t>
      </w:r>
      <w:r w:rsidR="00F62D61" w:rsidRPr="00684559">
        <w:rPr>
          <w:lang w:bidi="en-US"/>
        </w:rPr>
        <w:t xml:space="preserve"> </w:t>
      </w:r>
      <w:r w:rsidR="00F62D61">
        <w:rPr>
          <w:lang w:bidi="en-US"/>
        </w:rPr>
        <w:t>T</w:t>
      </w:r>
      <w:r w:rsidR="00F62D61" w:rsidRPr="00684559">
        <w:rPr>
          <w:lang w:bidi="en-US"/>
        </w:rPr>
        <w:t>he</w:t>
      </w:r>
      <w:r w:rsidR="00F62D61">
        <w:rPr>
          <w:lang w:bidi="en-US"/>
        </w:rPr>
        <w:t>refore the</w:t>
      </w:r>
      <w:r w:rsidR="00F62D61" w:rsidRPr="00684559">
        <w:rPr>
          <w:lang w:bidi="en-US"/>
        </w:rPr>
        <w:t xml:space="preserve"> conclusions </w:t>
      </w:r>
      <w:r w:rsidR="00F62D61">
        <w:rPr>
          <w:lang w:bidi="en-US"/>
        </w:rPr>
        <w:t xml:space="preserve">are </w:t>
      </w:r>
      <w:r w:rsidR="00F62D61" w:rsidRPr="00684559">
        <w:rPr>
          <w:lang w:bidi="en-US"/>
        </w:rPr>
        <w:t>arbitrary under ANILCA, NFMA, and the other statutes governing timber sale projects.</w:t>
      </w:r>
    </w:p>
    <w:p w14:paraId="44FD2ADB" w14:textId="77777777" w:rsidR="00F62D61" w:rsidRDefault="00F62D61" w:rsidP="00F62D61">
      <w:pPr>
        <w:rPr>
          <w:lang w:bidi="en-US"/>
        </w:rPr>
      </w:pPr>
      <w:r w:rsidRPr="00684559">
        <w:rPr>
          <w:lang w:bidi="en-US"/>
        </w:rPr>
        <w:t>The agency also violates NEPA because the FEIS presents misleading and incomplete information regarding the Project’s adverse impacts on subsistence users and resources.</w:t>
      </w:r>
    </w:p>
    <w:p w14:paraId="3F61F4AB" w14:textId="254B5954" w:rsidR="00F62D61" w:rsidRPr="006E7E05" w:rsidRDefault="00F62D61" w:rsidP="00F62D61">
      <w:pPr>
        <w:rPr>
          <w:rFonts w:eastAsia="Calibri"/>
        </w:rPr>
      </w:pPr>
      <w:r w:rsidRPr="001D3904">
        <w:rPr>
          <w:rFonts w:eastAsia="Calibri"/>
          <w:b/>
        </w:rPr>
        <w:t>Response:</w:t>
      </w:r>
      <w:r>
        <w:rPr>
          <w:rFonts w:eastAsia="Calibri"/>
        </w:rPr>
        <w:t xml:space="preserve"> </w:t>
      </w:r>
      <w:r w:rsidRPr="006E7E05">
        <w:rPr>
          <w:rFonts w:eastAsia="Calibri"/>
        </w:rPr>
        <w:t>The FEIS discloses the potential direct, indirect, and cumulative effects of this project on subsistence resources</w:t>
      </w:r>
      <w:r>
        <w:rPr>
          <w:rFonts w:eastAsia="Calibri"/>
        </w:rPr>
        <w:t xml:space="preserve">. </w:t>
      </w:r>
      <w:r w:rsidRPr="006E7E05">
        <w:rPr>
          <w:rFonts w:eastAsia="Calibri"/>
        </w:rPr>
        <w:t xml:space="preserve">The Forest acknowledges that the project may result in a significant restriction to subsistence use of deer due to the potential effects on the abundance and distribution of, competition for, and access to deer. The FEIS, </w:t>
      </w:r>
      <w:r>
        <w:rPr>
          <w:rFonts w:eastAsia="Calibri"/>
        </w:rPr>
        <w:t>d</w:t>
      </w:r>
      <w:r w:rsidRPr="006E7E05">
        <w:rPr>
          <w:rFonts w:eastAsia="Calibri"/>
        </w:rPr>
        <w:t>r</w:t>
      </w:r>
      <w:r>
        <w:rPr>
          <w:rFonts w:eastAsia="Calibri"/>
        </w:rPr>
        <w:t xml:space="preserve">aft Record of Decision </w:t>
      </w:r>
      <w:r w:rsidRPr="006E7E05">
        <w:rPr>
          <w:rFonts w:eastAsia="Calibri"/>
        </w:rPr>
        <w:t xml:space="preserve">and Forest Plan outline mitigations to minimize the potential effects of the </w:t>
      </w:r>
      <w:r>
        <w:rPr>
          <w:rFonts w:eastAsia="Calibri"/>
        </w:rPr>
        <w:t>P</w:t>
      </w:r>
      <w:r w:rsidRPr="006E7E05">
        <w:rPr>
          <w:rFonts w:eastAsia="Calibri"/>
        </w:rPr>
        <w:t xml:space="preserve">roject on deer distribution and abundance. The project analysis complies with the legal requirements of Section 810 of </w:t>
      </w:r>
      <w:r>
        <w:rPr>
          <w:rFonts w:eastAsia="Calibri"/>
        </w:rPr>
        <w:t>ANILCA</w:t>
      </w:r>
      <w:r w:rsidRPr="006E7E05">
        <w:rPr>
          <w:rFonts w:eastAsia="Calibri"/>
        </w:rPr>
        <w:t xml:space="preserve"> and NEPA requirements for subsistence resources</w:t>
      </w:r>
      <w:r>
        <w:rPr>
          <w:rFonts w:eastAsia="Calibri"/>
        </w:rPr>
        <w:t xml:space="preserve">. </w:t>
      </w:r>
      <w:r w:rsidRPr="006E7E05">
        <w:rPr>
          <w:rFonts w:eastAsia="Calibri"/>
        </w:rPr>
        <w:t xml:space="preserve">The </w:t>
      </w:r>
      <w:r>
        <w:rPr>
          <w:rFonts w:eastAsia="Calibri"/>
        </w:rPr>
        <w:t>P</w:t>
      </w:r>
      <w:r w:rsidRPr="006E7E05">
        <w:rPr>
          <w:rFonts w:eastAsia="Calibri"/>
        </w:rPr>
        <w:t>roject analysis and incorporation of Forest Plan direction (</w:t>
      </w:r>
      <w:r w:rsidRPr="00F62D61">
        <w:rPr>
          <w:rFonts w:eastAsia="Calibri"/>
          <w:i/>
        </w:rPr>
        <w:t>e</w:t>
      </w:r>
      <w:r>
        <w:rPr>
          <w:rFonts w:eastAsia="Calibri"/>
          <w:i/>
        </w:rPr>
        <w:t>.</w:t>
      </w:r>
      <w:r w:rsidRPr="00F62D61">
        <w:rPr>
          <w:rFonts w:eastAsia="Calibri"/>
          <w:i/>
        </w:rPr>
        <w:t>g.</w:t>
      </w:r>
      <w:r w:rsidRPr="006E7E05">
        <w:rPr>
          <w:rFonts w:eastAsia="Calibri"/>
        </w:rPr>
        <w:t xml:space="preserve"> Conservation Strategy) also compl</w:t>
      </w:r>
      <w:r>
        <w:rPr>
          <w:rFonts w:eastAsia="Calibri"/>
        </w:rPr>
        <w:t>y</w:t>
      </w:r>
      <w:r w:rsidRPr="006E7E05">
        <w:rPr>
          <w:rFonts w:eastAsia="Calibri"/>
        </w:rPr>
        <w:t xml:space="preserve"> </w:t>
      </w:r>
      <w:r>
        <w:rPr>
          <w:rFonts w:eastAsia="Calibri"/>
        </w:rPr>
        <w:t xml:space="preserve">with </w:t>
      </w:r>
      <w:r w:rsidRPr="006E7E05">
        <w:rPr>
          <w:rFonts w:eastAsia="Calibri"/>
        </w:rPr>
        <w:t>NFMA requirements. NFMA and NEPA as it applies to wildlife and subsistence resources was also addressed in Appendix D of the FEIS in response to pu</w:t>
      </w:r>
      <w:r>
        <w:rPr>
          <w:rFonts w:eastAsia="Calibri"/>
        </w:rPr>
        <w:t>blic comments on the draft EIS.</w:t>
      </w:r>
    </w:p>
    <w:p w14:paraId="39F96A0E" w14:textId="56AEC282" w:rsidR="006A034C" w:rsidRPr="006A034C" w:rsidRDefault="006A034C" w:rsidP="006A034C">
      <w:pPr>
        <w:pStyle w:val="Heading3"/>
        <w:spacing w:before="0" w:after="120"/>
        <w:rPr>
          <w:rFonts w:asciiTheme="minorHAnsi" w:hAnsiTheme="minorHAnsi" w:cstheme="minorHAnsi"/>
          <w:color w:val="auto"/>
          <w:sz w:val="22"/>
          <w:szCs w:val="22"/>
          <w:lang w:bidi="en-US"/>
        </w:rPr>
      </w:pPr>
      <w:r w:rsidRPr="006A034C">
        <w:rPr>
          <w:rFonts w:asciiTheme="minorHAnsi" w:eastAsia="Calibri" w:hAnsiTheme="minorHAnsi" w:cstheme="minorHAnsi"/>
          <w:b/>
          <w:color w:val="auto"/>
          <w:sz w:val="22"/>
          <w:szCs w:val="22"/>
        </w:rPr>
        <w:t>Issue:</w:t>
      </w:r>
      <w:r w:rsidRPr="006A034C">
        <w:rPr>
          <w:rFonts w:asciiTheme="minorHAnsi" w:eastAsia="Calibri" w:hAnsiTheme="minorHAnsi" w:cstheme="minorHAnsi"/>
          <w:color w:val="auto"/>
          <w:sz w:val="22"/>
          <w:szCs w:val="22"/>
        </w:rPr>
        <w:t xml:space="preserve"> </w:t>
      </w:r>
      <w:r>
        <w:rPr>
          <w:rFonts w:asciiTheme="minorHAnsi" w:hAnsiTheme="minorHAnsi" w:cstheme="minorHAnsi"/>
          <w:color w:val="auto"/>
          <w:sz w:val="22"/>
          <w:szCs w:val="22"/>
          <w:lang w:bidi="en-US"/>
        </w:rPr>
        <w:tab/>
        <w:t>You allege t</w:t>
      </w:r>
      <w:r w:rsidRPr="006A034C">
        <w:rPr>
          <w:rFonts w:asciiTheme="minorHAnsi" w:hAnsiTheme="minorHAnsi" w:cstheme="minorHAnsi"/>
          <w:color w:val="auto"/>
          <w:sz w:val="22"/>
          <w:szCs w:val="22"/>
          <w:lang w:bidi="en-US"/>
        </w:rPr>
        <w:t xml:space="preserve">he FEIS violates NFMA because it fails </w:t>
      </w:r>
      <w:r w:rsidR="00B334A5">
        <w:rPr>
          <w:rFonts w:asciiTheme="minorHAnsi" w:hAnsiTheme="minorHAnsi" w:cstheme="minorHAnsi"/>
          <w:color w:val="auto"/>
          <w:sz w:val="22"/>
          <w:szCs w:val="22"/>
          <w:lang w:bidi="en-US"/>
        </w:rPr>
        <w:t xml:space="preserve">to </w:t>
      </w:r>
      <w:r w:rsidRPr="006A034C">
        <w:rPr>
          <w:rFonts w:asciiTheme="minorHAnsi" w:hAnsiTheme="minorHAnsi" w:cstheme="minorHAnsi"/>
          <w:color w:val="auto"/>
          <w:sz w:val="22"/>
          <w:szCs w:val="22"/>
          <w:lang w:bidi="en-US"/>
        </w:rPr>
        <w:t xml:space="preserve">analyze the impacts the </w:t>
      </w:r>
      <w:r w:rsidR="00F62D61">
        <w:rPr>
          <w:rFonts w:asciiTheme="minorHAnsi" w:hAnsiTheme="minorHAnsi" w:cstheme="minorHAnsi"/>
          <w:color w:val="auto"/>
          <w:sz w:val="22"/>
          <w:szCs w:val="22"/>
          <w:lang w:bidi="en-US"/>
        </w:rPr>
        <w:t>POWLLA</w:t>
      </w:r>
      <w:r w:rsidRPr="006A034C">
        <w:rPr>
          <w:rFonts w:asciiTheme="minorHAnsi" w:hAnsiTheme="minorHAnsi" w:cstheme="minorHAnsi"/>
          <w:color w:val="auto"/>
          <w:sz w:val="22"/>
          <w:szCs w:val="22"/>
          <w:lang w:bidi="en-US"/>
        </w:rPr>
        <w:t xml:space="preserve"> Project will have on wolves, and deer in the manner prescribed in the Forest Plan.</w:t>
      </w:r>
    </w:p>
    <w:p w14:paraId="30666BEF" w14:textId="0F72F36B" w:rsidR="006A034C" w:rsidRDefault="006A034C" w:rsidP="006A034C">
      <w:r w:rsidRPr="006A034C">
        <w:rPr>
          <w:rFonts w:eastAsia="Calibri"/>
          <w:b/>
        </w:rPr>
        <w:t xml:space="preserve">Response: </w:t>
      </w:r>
      <w:r w:rsidRPr="00322A30">
        <w:t xml:space="preserve">Standards and Guidelines within </w:t>
      </w:r>
      <w:r>
        <w:t xml:space="preserve">the </w:t>
      </w:r>
      <w:r w:rsidR="00F62D61">
        <w:t>Forest</w:t>
      </w:r>
      <w:r>
        <w:t xml:space="preserve"> Plan (pp. 4-85 thr</w:t>
      </w:r>
      <w:r w:rsidR="00620E1D">
        <w:t xml:space="preserve">ough </w:t>
      </w:r>
      <w:r>
        <w:t>4-</w:t>
      </w:r>
      <w:r w:rsidRPr="00322A30">
        <w:t>97) identify the species and associated expectations for project analysis and/or habitat management specific to wildlife, including</w:t>
      </w:r>
      <w:r>
        <w:t xml:space="preserve"> Queen Charlotte goshawk, </w:t>
      </w:r>
      <w:r w:rsidR="00F62D61">
        <w:t>MIS</w:t>
      </w:r>
      <w:r w:rsidRPr="00322A30">
        <w:t xml:space="preserve"> and endemic terrestrial mammals. MIS include Alexander Archipelago wolf and Sitka black-tail</w:t>
      </w:r>
      <w:r w:rsidR="00F62D61">
        <w:t>ed</w:t>
      </w:r>
      <w:r w:rsidRPr="00322A30">
        <w:t xml:space="preserve"> deer. Endemic mammal species analyzed within the FEIS include insular dusky shrew, Keen’s myotis, Suemez Island ermine, Prince of Wales flying squirre</w:t>
      </w:r>
      <w:r>
        <w:t>l and spruce grouse (</w:t>
      </w:r>
      <w:r w:rsidRPr="00322A30">
        <w:t xml:space="preserve">pp. 170-237). </w:t>
      </w:r>
    </w:p>
    <w:p w14:paraId="64478949" w14:textId="03F831DB" w:rsidR="006A034C" w:rsidRPr="00322A30" w:rsidRDefault="006A034C" w:rsidP="006A034C">
      <w:r w:rsidRPr="00322A30">
        <w:t>Consistent with established standard and guidelines, the FEIS provides an analysis of effe</w:t>
      </w:r>
      <w:r w:rsidR="00F62D61">
        <w:t xml:space="preserve">cts to wildlife (pp. 170-237). </w:t>
      </w:r>
      <w:r w:rsidRPr="00322A30">
        <w:t>The FEIS and supporting analyses incorporated comments received and relevant scientific documents provided (FEIS, p. 20).</w:t>
      </w:r>
    </w:p>
    <w:p w14:paraId="276AB114" w14:textId="77777777" w:rsidR="00F760A5" w:rsidRDefault="00F760A5" w:rsidP="00F760A5">
      <w:r w:rsidRPr="00641650">
        <w:t>The analyses and supporting documentation provided by the FEIS comply fully with applicable rules.</w:t>
      </w:r>
    </w:p>
    <w:p w14:paraId="10E19FDD" w14:textId="71FA88D9" w:rsidR="008C3208" w:rsidRPr="008C3208" w:rsidRDefault="008C3208" w:rsidP="00F760A5"/>
    <w:p w14:paraId="0DC02AE9" w14:textId="7D586309" w:rsidR="00F760A5" w:rsidRDefault="00F760A5" w:rsidP="00F760A5">
      <w:pPr>
        <w:rPr>
          <w:lang w:bidi="en-US"/>
        </w:rPr>
      </w:pPr>
      <w:r w:rsidRPr="00F760A5">
        <w:rPr>
          <w:b/>
        </w:rPr>
        <w:t>Issue:</w:t>
      </w:r>
      <w:r>
        <w:t xml:space="preserve"> </w:t>
      </w:r>
      <w:r>
        <w:rPr>
          <w:lang w:bidi="en-US"/>
        </w:rPr>
        <w:tab/>
      </w:r>
      <w:r w:rsidR="00F62D61">
        <w:rPr>
          <w:lang w:bidi="en-US"/>
        </w:rPr>
        <w:t>You assert t</w:t>
      </w:r>
      <w:r w:rsidR="00F62D61" w:rsidRPr="00B651CC">
        <w:rPr>
          <w:lang w:bidi="en-US"/>
        </w:rPr>
        <w:t xml:space="preserve">he Forest Service’s </w:t>
      </w:r>
      <w:r w:rsidR="00F62D61">
        <w:rPr>
          <w:lang w:bidi="en-US"/>
        </w:rPr>
        <w:t>r</w:t>
      </w:r>
      <w:r w:rsidR="00F62D61" w:rsidRPr="00B651CC">
        <w:rPr>
          <w:lang w:bidi="en-US"/>
        </w:rPr>
        <w:t xml:space="preserve">eliance on </w:t>
      </w:r>
      <w:r w:rsidR="00F62D61">
        <w:rPr>
          <w:lang w:bidi="en-US"/>
        </w:rPr>
        <w:t>h</w:t>
      </w:r>
      <w:r w:rsidR="00F62D61" w:rsidRPr="00B651CC">
        <w:rPr>
          <w:lang w:bidi="en-US"/>
        </w:rPr>
        <w:t xml:space="preserve">abitat </w:t>
      </w:r>
      <w:r w:rsidR="00F62D61">
        <w:rPr>
          <w:lang w:bidi="en-US"/>
        </w:rPr>
        <w:t>t</w:t>
      </w:r>
      <w:r w:rsidR="00F62D61" w:rsidRPr="00B651CC">
        <w:rPr>
          <w:lang w:bidi="en-US"/>
        </w:rPr>
        <w:t xml:space="preserve">hresholds is </w:t>
      </w:r>
      <w:r w:rsidR="00F62D61">
        <w:rPr>
          <w:lang w:bidi="en-US"/>
        </w:rPr>
        <w:t>u</w:t>
      </w:r>
      <w:r w:rsidR="00F62D61" w:rsidRPr="00B651CC">
        <w:rPr>
          <w:lang w:bidi="en-US"/>
        </w:rPr>
        <w:t xml:space="preserve">nsupported, </w:t>
      </w:r>
      <w:r w:rsidR="00F62D61">
        <w:rPr>
          <w:lang w:bidi="en-US"/>
        </w:rPr>
        <w:t>c</w:t>
      </w:r>
      <w:r w:rsidR="00F62D61" w:rsidRPr="00B651CC">
        <w:rPr>
          <w:lang w:bidi="en-US"/>
        </w:rPr>
        <w:t xml:space="preserve">ontrary to the </w:t>
      </w:r>
      <w:r w:rsidR="00F62D61">
        <w:rPr>
          <w:lang w:bidi="en-US"/>
        </w:rPr>
        <w:t>r</w:t>
      </w:r>
      <w:r w:rsidR="00F62D61" w:rsidRPr="00B651CC">
        <w:rPr>
          <w:lang w:bidi="en-US"/>
        </w:rPr>
        <w:t xml:space="preserve">ecord, and </w:t>
      </w:r>
      <w:r w:rsidR="00F62D61">
        <w:rPr>
          <w:lang w:bidi="en-US"/>
        </w:rPr>
        <w:t>u</w:t>
      </w:r>
      <w:r w:rsidR="00F62D61" w:rsidRPr="00B651CC">
        <w:rPr>
          <w:lang w:bidi="en-US"/>
        </w:rPr>
        <w:t>nlawful</w:t>
      </w:r>
      <w:r w:rsidR="00F62D61">
        <w:rPr>
          <w:lang w:bidi="en-US"/>
        </w:rPr>
        <w:t>.</w:t>
      </w:r>
    </w:p>
    <w:p w14:paraId="40C3DA9D" w14:textId="77777777" w:rsidR="00F62D61" w:rsidRPr="00641650" w:rsidRDefault="00F760A5" w:rsidP="00F62D61">
      <w:r w:rsidRPr="00F760A5">
        <w:rPr>
          <w:b/>
          <w:lang w:bidi="en-US"/>
        </w:rPr>
        <w:t>Response:</w:t>
      </w:r>
      <w:r>
        <w:rPr>
          <w:lang w:bidi="en-US"/>
        </w:rPr>
        <w:t xml:space="preserve"> </w:t>
      </w:r>
      <w:r w:rsidR="00F62D61" w:rsidRPr="00641650">
        <w:t>Thresholds were used to display differences between potential impact of alternatives, cumulative impacts</w:t>
      </w:r>
      <w:r w:rsidR="00F62D61">
        <w:t>,</w:t>
      </w:r>
      <w:r w:rsidR="00F62D61" w:rsidRPr="00641650">
        <w:t xml:space="preserve"> and existing condition</w:t>
      </w:r>
      <w:r w:rsidR="00F62D61">
        <w:t>;</w:t>
      </w:r>
      <w:r w:rsidR="00F62D61" w:rsidRPr="00641650">
        <w:t xml:space="preserve"> </w:t>
      </w:r>
      <w:r w:rsidR="00F62D61">
        <w:t>they were</w:t>
      </w:r>
      <w:r w:rsidR="00F62D61" w:rsidRPr="00641650">
        <w:t xml:space="preserve"> not </w:t>
      </w:r>
      <w:r w:rsidR="00F62D61">
        <w:t xml:space="preserve">used </w:t>
      </w:r>
      <w:r w:rsidR="00F62D61" w:rsidRPr="00641650">
        <w:t xml:space="preserve">to </w:t>
      </w:r>
      <w:r w:rsidR="00F62D61">
        <w:t>demonstrate</w:t>
      </w:r>
      <w:r w:rsidR="00F62D61" w:rsidRPr="00641650">
        <w:t xml:space="preserve"> viability</w:t>
      </w:r>
      <w:r w:rsidR="00F62D61">
        <w:t xml:space="preserve">. </w:t>
      </w:r>
      <w:r w:rsidR="00F62D61" w:rsidRPr="00641650">
        <w:t>Species viability is determined at the Forest Plan level (36 CFR 219.19). The FEIS (pp. 172-173) clarifies this under “Tolerance to Changes in Habitat</w:t>
      </w:r>
      <w:r w:rsidR="00F62D61">
        <w:t>.</w:t>
      </w:r>
      <w:r w:rsidR="00F62D61" w:rsidRPr="00641650">
        <w:t xml:space="preserve">” Where habitat thresholds could not be </w:t>
      </w:r>
      <w:r w:rsidR="00F62D61">
        <w:t>referenced</w:t>
      </w:r>
      <w:r w:rsidR="00F62D61" w:rsidRPr="00641650">
        <w:t xml:space="preserve"> for certain species (</w:t>
      </w:r>
      <w:r w:rsidR="00F62D61" w:rsidRPr="000B713A">
        <w:rPr>
          <w:i/>
        </w:rPr>
        <w:t>i.e.</w:t>
      </w:r>
      <w:r w:rsidR="00F62D61" w:rsidRPr="00641650">
        <w:t xml:space="preserve"> deer, wolf, goshawk, and flying squirrel) the </w:t>
      </w:r>
      <w:r w:rsidR="00F62D61">
        <w:t>C</w:t>
      </w:r>
      <w:r w:rsidR="00F62D61" w:rsidRPr="00641650">
        <w:t xml:space="preserve">onservation </w:t>
      </w:r>
      <w:r w:rsidR="00F62D61">
        <w:t>S</w:t>
      </w:r>
      <w:r w:rsidR="00F62D61" w:rsidRPr="00641650">
        <w:t xml:space="preserve">trategy was the standard applied for providing sufficient distribution and abundance of habitat to support viable, well-distributed populations. </w:t>
      </w:r>
    </w:p>
    <w:p w14:paraId="34A69C51" w14:textId="77777777" w:rsidR="00F62D61" w:rsidRDefault="00F62D61" w:rsidP="00F62D61">
      <w:r w:rsidRPr="00641650">
        <w:t>The analyses and supporting documentation provided by the FEIS comply fully with applicable rules.</w:t>
      </w:r>
    </w:p>
    <w:p w14:paraId="2C93D914" w14:textId="3B54D6DE" w:rsidR="00F760A5" w:rsidRDefault="00F760A5" w:rsidP="00F62D61">
      <w:pPr>
        <w:rPr>
          <w:lang w:bidi="en-US"/>
        </w:rPr>
      </w:pPr>
    </w:p>
    <w:p w14:paraId="3EFB8DBC" w14:textId="309737F0" w:rsidR="00F760A5" w:rsidRDefault="00F760A5" w:rsidP="00F760A5">
      <w:pPr>
        <w:rPr>
          <w:lang w:bidi="en-US"/>
        </w:rPr>
      </w:pPr>
      <w:r w:rsidRPr="00F760A5">
        <w:rPr>
          <w:b/>
          <w:lang w:bidi="en-US"/>
        </w:rPr>
        <w:t>Issue:</w:t>
      </w:r>
      <w:r>
        <w:rPr>
          <w:lang w:bidi="en-US"/>
        </w:rPr>
        <w:t xml:space="preserve"> </w:t>
      </w:r>
      <w:r>
        <w:rPr>
          <w:lang w:bidi="en-US"/>
        </w:rPr>
        <w:tab/>
      </w:r>
      <w:r w:rsidR="00F62D61">
        <w:rPr>
          <w:lang w:bidi="en-US"/>
        </w:rPr>
        <w:t>You allege the Forest Service acted u</w:t>
      </w:r>
      <w:r w:rsidR="00F62D61" w:rsidRPr="00E70971">
        <w:rPr>
          <w:lang w:bidi="en-US"/>
        </w:rPr>
        <w:t xml:space="preserve">nlawfully by </w:t>
      </w:r>
      <w:r w:rsidR="00F62D61">
        <w:rPr>
          <w:lang w:bidi="en-US"/>
        </w:rPr>
        <w:t>i</w:t>
      </w:r>
      <w:r w:rsidR="00F62D61" w:rsidRPr="00E70971">
        <w:rPr>
          <w:lang w:bidi="en-US"/>
        </w:rPr>
        <w:t xml:space="preserve">gnoring </w:t>
      </w:r>
      <w:r w:rsidR="00F62D61">
        <w:rPr>
          <w:lang w:bidi="en-US"/>
        </w:rPr>
        <w:t>missing information regarding endemic species and the resulting impacts of the Project on those species, in violation of NEPA.</w:t>
      </w:r>
    </w:p>
    <w:p w14:paraId="53794B59" w14:textId="78558ECF" w:rsidR="0031725C" w:rsidRDefault="00F760A5" w:rsidP="0031725C">
      <w:pPr>
        <w:rPr>
          <w:szCs w:val="20"/>
          <w:lang w:bidi="en-US"/>
        </w:rPr>
      </w:pPr>
      <w:r w:rsidRPr="00F760A5">
        <w:rPr>
          <w:b/>
        </w:rPr>
        <w:t>Response:</w:t>
      </w:r>
      <w:r>
        <w:t xml:space="preserve"> </w:t>
      </w:r>
      <w:r w:rsidR="00E81D09">
        <w:t>T</w:t>
      </w:r>
      <w:r w:rsidR="00E81D09">
        <w:rPr>
          <w:szCs w:val="20"/>
          <w:lang w:bidi="en-US"/>
        </w:rPr>
        <w:t>he information you claim a</w:t>
      </w:r>
      <w:r w:rsidR="0031725C">
        <w:rPr>
          <w:szCs w:val="20"/>
          <w:lang w:bidi="en-US"/>
        </w:rPr>
        <w:t>s missing</w:t>
      </w:r>
      <w:r w:rsidR="00E81D09">
        <w:rPr>
          <w:szCs w:val="20"/>
          <w:lang w:bidi="en-US"/>
        </w:rPr>
        <w:t xml:space="preserve"> from the analysis in your objection</w:t>
      </w:r>
      <w:r w:rsidR="0031725C">
        <w:rPr>
          <w:szCs w:val="20"/>
          <w:lang w:bidi="en-US"/>
        </w:rPr>
        <w:t xml:space="preserve"> was either analyzed at the Forest Plan level, is not required</w:t>
      </w:r>
      <w:r w:rsidR="00E81D09">
        <w:rPr>
          <w:szCs w:val="20"/>
          <w:lang w:bidi="en-US"/>
        </w:rPr>
        <w:t xml:space="preserve"> by</w:t>
      </w:r>
      <w:r w:rsidR="008C3208">
        <w:rPr>
          <w:szCs w:val="20"/>
          <w:lang w:bidi="en-US"/>
        </w:rPr>
        <w:t xml:space="preserve"> NEPA or other relevant laws, </w:t>
      </w:r>
      <w:r w:rsidR="00E81D09">
        <w:rPr>
          <w:szCs w:val="20"/>
          <w:lang w:bidi="en-US"/>
        </w:rPr>
        <w:t>was analyzed in the FEIS</w:t>
      </w:r>
      <w:r w:rsidR="008C3208">
        <w:rPr>
          <w:szCs w:val="20"/>
          <w:lang w:bidi="en-US"/>
        </w:rPr>
        <w:t>, or responded to in the FEIS Response to Comments</w:t>
      </w:r>
      <w:r w:rsidR="00E81D09">
        <w:rPr>
          <w:szCs w:val="20"/>
          <w:lang w:bidi="en-US"/>
        </w:rPr>
        <w:t>.</w:t>
      </w:r>
    </w:p>
    <w:p w14:paraId="6F4C7E4E" w14:textId="47F101B3" w:rsidR="00855713" w:rsidRPr="00322A30" w:rsidRDefault="00E81D09" w:rsidP="00855713">
      <w:r>
        <w:t>Species-</w:t>
      </w:r>
      <w:r w:rsidR="0031725C">
        <w:t>specific habitat requirements was</w:t>
      </w:r>
      <w:r w:rsidR="00855713">
        <w:t xml:space="preserve"> </w:t>
      </w:r>
      <w:r w:rsidR="0031725C">
        <w:t>analyzed in</w:t>
      </w:r>
      <w:r w:rsidR="00855713">
        <w:t xml:space="preserve"> Issue 5 – Wildlife Habitat</w:t>
      </w:r>
      <w:r w:rsidR="0031725C">
        <w:t xml:space="preserve"> and</w:t>
      </w:r>
      <w:r w:rsidR="00855713">
        <w:t xml:space="preserve"> includes discussion of Region 10 Forest Service sensitive species (Queen Charlotte goshawk), and other selected wildlife species including Sitka black-tailed deer, Alexander Archipelago wolf, black bear, American marten, marbled murrelet, brown creeper, and endemic species including the Prince of Wales flying squirrel, Prince of Wales spruce grouse, and Keen’s myotis. (FEIS</w:t>
      </w:r>
      <w:r w:rsidR="00620E1D">
        <w:t>,</w:t>
      </w:r>
      <w:r w:rsidR="00855713">
        <w:t xml:space="preserve"> p. 3-170)</w:t>
      </w:r>
      <w:r w:rsidR="0031725C">
        <w:t xml:space="preserve"> As stated in the FEIS the analysis was based on habitat and the proposed changes to that habitat.</w:t>
      </w:r>
    </w:p>
    <w:p w14:paraId="64966288" w14:textId="0D5043CA" w:rsidR="00855713" w:rsidRPr="00620E1D" w:rsidRDefault="0003666C" w:rsidP="00F760A5">
      <w:pPr>
        <w:rPr>
          <w:szCs w:val="20"/>
          <w:lang w:bidi="en-US"/>
        </w:rPr>
      </w:pPr>
      <w:r>
        <w:rPr>
          <w:szCs w:val="20"/>
          <w:lang w:bidi="en-US"/>
        </w:rPr>
        <w:t>You state</w:t>
      </w:r>
      <w:r w:rsidR="00855713" w:rsidRPr="00E14926">
        <w:rPr>
          <w:szCs w:val="20"/>
          <w:lang w:bidi="en-US"/>
        </w:rPr>
        <w:t xml:space="preserve"> that the Forest Service admits it is missing information about virtually ev</w:t>
      </w:r>
      <w:r w:rsidR="00855713">
        <w:rPr>
          <w:szCs w:val="20"/>
          <w:lang w:bidi="en-US"/>
        </w:rPr>
        <w:t>ery aspect of endemic species. The FEIS acknowledges there was missing information on the</w:t>
      </w:r>
      <w:r>
        <w:rPr>
          <w:szCs w:val="20"/>
          <w:lang w:bidi="en-US"/>
        </w:rPr>
        <w:t xml:space="preserve"> Suemez Island ermine</w:t>
      </w:r>
      <w:r w:rsidR="00855713">
        <w:rPr>
          <w:szCs w:val="20"/>
          <w:lang w:bidi="en-US"/>
        </w:rPr>
        <w:t xml:space="preserve">, a reference specifically to an unknown level of gaps in marten territory and threshold levels for some species. </w:t>
      </w:r>
      <w:r>
        <w:rPr>
          <w:szCs w:val="20"/>
          <w:lang w:bidi="en-US"/>
        </w:rPr>
        <w:t xml:space="preserve">What </w:t>
      </w:r>
      <w:r w:rsidRPr="00620E1D">
        <w:rPr>
          <w:szCs w:val="20"/>
          <w:lang w:bidi="en-US"/>
        </w:rPr>
        <w:t xml:space="preserve">other missing information for endemics </w:t>
      </w:r>
      <w:r w:rsidR="00E81D09" w:rsidRPr="00620E1D">
        <w:rPr>
          <w:szCs w:val="20"/>
          <w:lang w:bidi="en-US"/>
        </w:rPr>
        <w:t xml:space="preserve">you claim the Forest Service admits missing </w:t>
      </w:r>
      <w:r w:rsidRPr="00620E1D">
        <w:rPr>
          <w:szCs w:val="20"/>
          <w:lang w:bidi="en-US"/>
        </w:rPr>
        <w:t>is not clear</w:t>
      </w:r>
      <w:r w:rsidR="00F62D61" w:rsidRPr="00620E1D">
        <w:rPr>
          <w:szCs w:val="20"/>
          <w:lang w:bidi="en-US"/>
        </w:rPr>
        <w:t>.</w:t>
      </w:r>
      <w:r w:rsidRPr="00620E1D">
        <w:rPr>
          <w:szCs w:val="20"/>
          <w:lang w:bidi="en-US"/>
        </w:rPr>
        <w:t xml:space="preserve"> </w:t>
      </w:r>
    </w:p>
    <w:p w14:paraId="59BDE2DD" w14:textId="1432F87B" w:rsidR="00A45405" w:rsidRPr="00620E1D" w:rsidRDefault="00A45405" w:rsidP="00A45405">
      <w:pPr>
        <w:rPr>
          <w:rFonts w:eastAsia="Calibri"/>
        </w:rPr>
      </w:pPr>
      <w:r w:rsidRPr="00620E1D">
        <w:rPr>
          <w:b/>
        </w:rPr>
        <w:t xml:space="preserve">Instruction: </w:t>
      </w:r>
      <w:r w:rsidRPr="00620E1D">
        <w:t xml:space="preserve">In order to clarify that the FEIS and ROD are consistent with the Forest Plan the </w:t>
      </w:r>
      <w:r w:rsidR="00F954A5" w:rsidRPr="00620E1D">
        <w:t xml:space="preserve">Responsible Official </w:t>
      </w:r>
      <w:r w:rsidRPr="00620E1D">
        <w:t xml:space="preserve">should </w:t>
      </w:r>
      <w:r w:rsidRPr="00620E1D">
        <w:rPr>
          <w:rFonts w:eastAsia="Calibri"/>
        </w:rPr>
        <w:t>provide conclusory statements for black bear, marten, Sitka black-tailed deer, gray wolf, and brown creeper as to how the proposed changes in habitats specific to each MIS would or would not contribute to population trends for these species and what that contribution would be (</w:t>
      </w:r>
      <w:r w:rsidRPr="00620E1D">
        <w:rPr>
          <w:rFonts w:eastAsia="Calibri"/>
          <w:i/>
        </w:rPr>
        <w:t>e.g</w:t>
      </w:r>
      <w:r w:rsidRPr="00620E1D">
        <w:rPr>
          <w:rFonts w:eastAsia="Calibri"/>
        </w:rPr>
        <w:t xml:space="preserve">. contribute to stable population, upward trend, downward trend) and concise rational supporting that conclusion. A summary table would also assist in providing rationale and clarity. </w:t>
      </w:r>
    </w:p>
    <w:p w14:paraId="784EE055" w14:textId="77777777" w:rsidR="006A034C" w:rsidRPr="00620E1D" w:rsidRDefault="006A034C" w:rsidP="006A034C">
      <w:pPr>
        <w:rPr>
          <w:rFonts w:eastAsia="Calibri"/>
          <w:b/>
        </w:rPr>
      </w:pPr>
    </w:p>
    <w:p w14:paraId="0501106C" w14:textId="4E80DA48" w:rsidR="00E81D09" w:rsidRPr="00620E1D" w:rsidRDefault="00E81D09" w:rsidP="00E81D09">
      <w:pPr>
        <w:rPr>
          <w:lang w:bidi="en-US"/>
        </w:rPr>
      </w:pPr>
      <w:r w:rsidRPr="00620E1D">
        <w:rPr>
          <w:rFonts w:eastAsia="Calibri"/>
          <w:b/>
        </w:rPr>
        <w:t>Issue:</w:t>
      </w:r>
      <w:r w:rsidRPr="00620E1D">
        <w:rPr>
          <w:rFonts w:eastAsia="Calibri"/>
        </w:rPr>
        <w:t xml:space="preserve"> </w:t>
      </w:r>
      <w:r w:rsidRPr="00620E1D">
        <w:rPr>
          <w:rFonts w:eastAsia="Calibri"/>
        </w:rPr>
        <w:tab/>
        <w:t>You allege t</w:t>
      </w:r>
      <w:r w:rsidR="004A6C10" w:rsidRPr="00620E1D">
        <w:rPr>
          <w:lang w:bidi="en-US"/>
        </w:rPr>
        <w:t>he Forest Service acts arbitrarily and unlawfully b</w:t>
      </w:r>
      <w:r w:rsidRPr="00620E1D">
        <w:rPr>
          <w:lang w:bidi="en-US"/>
        </w:rPr>
        <w:t>y</w:t>
      </w:r>
      <w:r w:rsidR="004A6C10" w:rsidRPr="00620E1D">
        <w:rPr>
          <w:lang w:bidi="en-US"/>
        </w:rPr>
        <w:t xml:space="preserve"> ignoring expert concerns regarding the endemics impact analysis and c</w:t>
      </w:r>
      <w:r w:rsidRPr="00620E1D">
        <w:rPr>
          <w:lang w:bidi="en-US"/>
        </w:rPr>
        <w:t>onclusions.</w:t>
      </w:r>
    </w:p>
    <w:p w14:paraId="393C1648" w14:textId="3C711980" w:rsidR="00FA1833" w:rsidRPr="00620E1D" w:rsidRDefault="00E81D09" w:rsidP="00FA1833">
      <w:r w:rsidRPr="00620E1D">
        <w:rPr>
          <w:rFonts w:eastAsia="Calibri"/>
          <w:b/>
        </w:rPr>
        <w:t>Response:</w:t>
      </w:r>
      <w:r w:rsidR="00FA1833" w:rsidRPr="00620E1D">
        <w:t xml:space="preserve"> </w:t>
      </w:r>
      <w:r w:rsidR="00F62D61" w:rsidRPr="00620E1D">
        <w:t>It is the intent of the F</w:t>
      </w:r>
      <w:r w:rsidR="00FA1833" w:rsidRPr="00620E1D">
        <w:t xml:space="preserve">orest to fully provide and make available references cited within the FEIS and supporting documents. Missing references or incomplete citations will be added as an errata as necessary and have been included in the project record. Appendix D (pp. 57-62) provides additional response to the consideration and integration, if any, of provided information.  </w:t>
      </w:r>
    </w:p>
    <w:p w14:paraId="14DFB64F" w14:textId="51316FA8" w:rsidR="00AD492A" w:rsidRPr="00620E1D" w:rsidRDefault="004A6C10" w:rsidP="00AD492A">
      <w:r w:rsidRPr="00620E1D">
        <w:t>Your c</w:t>
      </w:r>
      <w:r w:rsidR="00AD492A" w:rsidRPr="00620E1D">
        <w:t xml:space="preserve">oncerns regarding the agency’s viability analyses for endemic species </w:t>
      </w:r>
      <w:r w:rsidRPr="00620E1D">
        <w:t>were responded to in the FEIS Response to Comments</w:t>
      </w:r>
      <w:r w:rsidR="00F62D61" w:rsidRPr="00620E1D">
        <w:t xml:space="preserve"> and are included in the FEIS. </w:t>
      </w:r>
      <w:r w:rsidRPr="00620E1D">
        <w:t>C</w:t>
      </w:r>
      <w:r w:rsidR="00AD492A" w:rsidRPr="00620E1D">
        <w:t>omponents of Alternative 3 were developed to address public concerns from past timber harvest and road construction and its effects to wildlife habitat, watershed function, and subsistence opportunities, while supporting local small mills and providing a limited time for larger mills to increase their utilization of young growth or locate another source of old growth to supplement their timber supply. Alternative 3 incorporates measures beyond those required in the Forest Plan, including less old-growth harvest and other measures to limit the effects of timber harvest, and emphasizes improvements in wildlife habitat</w:t>
      </w:r>
      <w:r w:rsidR="00F62D61" w:rsidRPr="00620E1D">
        <w:t xml:space="preserve"> on National Forest System</w:t>
      </w:r>
      <w:r w:rsidR="00AD492A" w:rsidRPr="00620E1D">
        <w:t xml:space="preserve"> lands. </w:t>
      </w:r>
    </w:p>
    <w:p w14:paraId="51E7BFB3" w14:textId="75C38FCE" w:rsidR="00FA1833" w:rsidRPr="00620E1D" w:rsidRDefault="00FA1833" w:rsidP="00FA1833">
      <w:r w:rsidRPr="00620E1D">
        <w:t>Species viability analysis is done at the Forest Plan level and is typically beyond the scope of a single project. However</w:t>
      </w:r>
      <w:r w:rsidR="00620E1D">
        <w:t>, the</w:t>
      </w:r>
      <w:r w:rsidRPr="00620E1D">
        <w:t xml:space="preserve"> </w:t>
      </w:r>
      <w:r w:rsidR="00F62D61" w:rsidRPr="00620E1D">
        <w:t>Forest Plan</w:t>
      </w:r>
      <w:r w:rsidRPr="00620E1D">
        <w:t xml:space="preserve"> includes requirements of consideration for endemic mammals at the island level. Th</w:t>
      </w:r>
      <w:r w:rsidR="00F954A5" w:rsidRPr="00620E1D">
        <w:t>ese</w:t>
      </w:r>
      <w:r w:rsidRPr="00620E1D">
        <w:t xml:space="preserve"> standards require surveys to confirm presence in the project area if there is a “high likelihood that they would be affected by the proposed project”.  </w:t>
      </w:r>
    </w:p>
    <w:p w14:paraId="090C3CAC" w14:textId="4C793CAC" w:rsidR="00F62D61" w:rsidRPr="00620E1D" w:rsidRDefault="00F62D61" w:rsidP="00F62D61">
      <w:r w:rsidRPr="00620E1D">
        <w:t xml:space="preserve">The </w:t>
      </w:r>
      <w:r w:rsidRPr="00620E1D">
        <w:rPr>
          <w:i/>
        </w:rPr>
        <w:t>2014 Tongass National Forest Monitoring and Evaluation Report, Chapter 18. Wildlife Terrestrial Habitat: Endemic Mammals</w:t>
      </w:r>
      <w:r w:rsidRPr="00620E1D">
        <w:t xml:space="preserve"> reported that the University of New Mexico and the Tongass collaborated to inventory mammals and their distribution on the Tongass through the Island Surveys to Locate Endemic Species project between 2009 and 2013. This work was a continuation of mammal inventory work that started in 1991. Appendix D (pp. 58-62) explains that the Forest Service determined that additional or specific surveys for endem</w:t>
      </w:r>
      <w:r w:rsidR="00620E1D">
        <w:t>ics were not needed for the POW</w:t>
      </w:r>
      <w:r w:rsidRPr="00620E1D">
        <w:t>LLA Project because, while it is likely that there will remain unknown populations of endemics that may occur on Prince of Wales, or the outer islands, many hours of surveys have already been conducted in the project area. The Arctos website indicates that thousands of specimens have been collected or documented from Prince of Wales and surrounding islands (</w:t>
      </w:r>
      <w:hyperlink r:id="rId7" w:history="1">
        <w:r w:rsidRPr="00620E1D">
          <w:rPr>
            <w:rStyle w:val="Hyperlink"/>
          </w:rPr>
          <w:t>http://arctos.database.museum/SpecimenSearch.cfm</w:t>
        </w:r>
      </w:hyperlink>
      <w:r w:rsidRPr="00620E1D">
        <w:t>).</w:t>
      </w:r>
    </w:p>
    <w:p w14:paraId="26472D34" w14:textId="77777777" w:rsidR="00FA1833" w:rsidRPr="00620E1D" w:rsidRDefault="00FA1833" w:rsidP="00FA1833">
      <w:pPr>
        <w:rPr>
          <w:lang w:bidi="en-US"/>
        </w:rPr>
      </w:pPr>
      <w:r w:rsidRPr="00620E1D">
        <w:t>Based on documentation provided within the FEIS and supporting documents, the project and associated decision are in compliance with applicable rules including NFMA and NEPA.</w:t>
      </w:r>
    </w:p>
    <w:p w14:paraId="03F301A1" w14:textId="5BA9BBD9" w:rsidR="00403303" w:rsidRPr="00620E1D" w:rsidRDefault="00CE0D5A" w:rsidP="00A45405">
      <w:pPr>
        <w:pStyle w:val="Heading2"/>
      </w:pPr>
      <w:r w:rsidRPr="00620E1D">
        <w:t xml:space="preserve">Instruction: </w:t>
      </w:r>
      <w:r w:rsidRPr="00620E1D">
        <w:rPr>
          <w:b w:val="0"/>
        </w:rPr>
        <w:t xml:space="preserve">I am instructing the </w:t>
      </w:r>
      <w:r w:rsidR="00F954A5" w:rsidRPr="00620E1D">
        <w:rPr>
          <w:b w:val="0"/>
        </w:rPr>
        <w:t xml:space="preserve">Responsible Official </w:t>
      </w:r>
      <w:r w:rsidRPr="00620E1D">
        <w:rPr>
          <w:b w:val="0"/>
        </w:rPr>
        <w:t>to</w:t>
      </w:r>
      <w:r w:rsidR="00403303" w:rsidRPr="00620E1D">
        <w:rPr>
          <w:b w:val="0"/>
        </w:rPr>
        <w:t xml:space="preserve"> ensure that all documents used in the analysis are </w:t>
      </w:r>
      <w:r w:rsidRPr="00620E1D">
        <w:rPr>
          <w:b w:val="0"/>
        </w:rPr>
        <w:t>reference</w:t>
      </w:r>
      <w:r w:rsidR="00403303" w:rsidRPr="00620E1D">
        <w:rPr>
          <w:b w:val="0"/>
        </w:rPr>
        <w:t>d and those documents (or relevant portions of the documents) are included</w:t>
      </w:r>
      <w:r w:rsidR="00FA1833" w:rsidRPr="00620E1D">
        <w:rPr>
          <w:b w:val="0"/>
        </w:rPr>
        <w:t xml:space="preserve"> the record, including the following</w:t>
      </w:r>
      <w:r w:rsidR="00CA563B" w:rsidRPr="00620E1D">
        <w:rPr>
          <w:b w:val="0"/>
        </w:rPr>
        <w:t xml:space="preserve"> changes</w:t>
      </w:r>
      <w:r w:rsidR="00FA1833" w:rsidRPr="00620E1D">
        <w:rPr>
          <w:b w:val="0"/>
        </w:rPr>
        <w:t>:</w:t>
      </w:r>
      <w:r w:rsidR="00FA1833" w:rsidRPr="00620E1D">
        <w:t xml:space="preserve"> </w:t>
      </w:r>
    </w:p>
    <w:p w14:paraId="726E1E78" w14:textId="52D524D5" w:rsidR="00FA1833" w:rsidRPr="00620E1D" w:rsidRDefault="00FA1833" w:rsidP="00A45405">
      <w:pPr>
        <w:pStyle w:val="ListParagraph"/>
        <w:numPr>
          <w:ilvl w:val="0"/>
          <w:numId w:val="3"/>
        </w:numPr>
        <w:spacing w:after="120" w:line="240" w:lineRule="auto"/>
        <w:contextualSpacing w:val="0"/>
      </w:pPr>
      <w:r w:rsidRPr="00620E1D">
        <w:t>Needs additional clarification of record:  Record index # 833_2309 takes the reader to: Angelstam, P. 2004. Habitat thresholds and effects of forest landscape change on the distribution and abundance of black grouse and capercaillie. – Ecol. Bull. 51: 173–</w:t>
      </w:r>
      <w:r w:rsidR="00CA563B" w:rsidRPr="00620E1D">
        <w:t>187. T</w:t>
      </w:r>
      <w:r w:rsidRPr="00620E1D">
        <w:t xml:space="preserve">his may represent information similar to that of Angelstam 2001b and Angelstam 2001 as interpreted for the FEIS, but this is not the reference cited in the document as the earlier cited documents appear to have been preliminary to the final </w:t>
      </w:r>
      <w:r w:rsidR="00CA563B" w:rsidRPr="00620E1D">
        <w:t>(</w:t>
      </w:r>
      <w:r w:rsidRPr="00620E1D">
        <w:t>2004</w:t>
      </w:r>
      <w:r w:rsidR="00CA563B" w:rsidRPr="00620E1D">
        <w:t>)</w:t>
      </w:r>
      <w:r w:rsidRPr="00620E1D">
        <w:t>.</w:t>
      </w:r>
    </w:p>
    <w:p w14:paraId="63DE01BA" w14:textId="77777777" w:rsidR="00CA563B" w:rsidRPr="00620E1D" w:rsidRDefault="00CA563B" w:rsidP="00CA563B">
      <w:pPr>
        <w:pStyle w:val="ListParagraph"/>
        <w:numPr>
          <w:ilvl w:val="0"/>
          <w:numId w:val="3"/>
        </w:numPr>
        <w:spacing w:after="120" w:line="240" w:lineRule="auto"/>
        <w:contextualSpacing w:val="0"/>
      </w:pPr>
      <w:r w:rsidRPr="00620E1D">
        <w:t>Correction needed in FEIS (errata): FEIS p. 3-179 states:  Research by Mikusinski and Angelstram (2000) indicated a habitat threshold for bears (brown) of about 50 percent habitat remaining. Research by Heinen (1998) indicated that mice did</w:t>
      </w:r>
      <w:r w:rsidRPr="00620E1D">
        <w:rPr>
          <w:i/>
        </w:rPr>
        <w:t xml:space="preserve"> </w:t>
      </w:r>
      <w:r w:rsidRPr="00620E1D">
        <w:t>not show a habitat threshold; however, this same research showed that chipmunks had a habitat threshold of about 30 percent habitat remaining. Since there were not habitat thresholds defined specifically for shrews, the 30 percent defined for chipmunks was used. Therefore a threshold of 50 percent was used for the analysis of effects to bear habitat and 30 percent for shrews. No thresholds were determined for ermine.</w:t>
      </w:r>
    </w:p>
    <w:p w14:paraId="6561BB94" w14:textId="77777777" w:rsidR="006A034C" w:rsidRPr="00620E1D" w:rsidRDefault="006A034C" w:rsidP="00B8016C">
      <w:pPr>
        <w:rPr>
          <w:rFonts w:eastAsia="Calibri"/>
        </w:rPr>
      </w:pPr>
    </w:p>
    <w:p w14:paraId="51B0B955" w14:textId="28632AEE" w:rsidR="00DD1848" w:rsidRPr="00620E1D" w:rsidRDefault="00DD1848" w:rsidP="00DD1848">
      <w:pPr>
        <w:rPr>
          <w:lang w:bidi="en-US"/>
        </w:rPr>
      </w:pPr>
      <w:r w:rsidRPr="00620E1D">
        <w:rPr>
          <w:rFonts w:eastAsia="Calibri"/>
          <w:b/>
        </w:rPr>
        <w:t>Issue:</w:t>
      </w:r>
      <w:r w:rsidRPr="00620E1D">
        <w:rPr>
          <w:rFonts w:eastAsia="Calibri"/>
        </w:rPr>
        <w:t xml:space="preserve"> </w:t>
      </w:r>
      <w:r w:rsidRPr="00620E1D">
        <w:rPr>
          <w:rFonts w:eastAsia="Calibri"/>
        </w:rPr>
        <w:tab/>
        <w:t>You assert that t</w:t>
      </w:r>
      <w:r w:rsidRPr="00620E1D">
        <w:rPr>
          <w:lang w:bidi="en-US"/>
        </w:rPr>
        <w:t xml:space="preserve">he FEIS fails to evaluate the impacts of the </w:t>
      </w:r>
      <w:r w:rsidR="00CA563B" w:rsidRPr="00620E1D">
        <w:rPr>
          <w:lang w:bidi="en-US"/>
        </w:rPr>
        <w:t>Alaska</w:t>
      </w:r>
      <w:r w:rsidRPr="00620E1D">
        <w:rPr>
          <w:lang w:bidi="en-US"/>
        </w:rPr>
        <w:t xml:space="preserve"> Roadless Rulemaking activity as a reasonably foreseeable activity. Therefore, the agency violates NEPA in failing to consider the consequences of the possible change in land management.</w:t>
      </w:r>
    </w:p>
    <w:p w14:paraId="14E42FC2" w14:textId="707651EB" w:rsidR="00DD1848" w:rsidRPr="00620E1D" w:rsidRDefault="00DD1848" w:rsidP="00DD1848">
      <w:r w:rsidRPr="00620E1D">
        <w:rPr>
          <w:rFonts w:eastAsia="Calibri"/>
          <w:b/>
        </w:rPr>
        <w:t>Response:</w:t>
      </w:r>
      <w:r w:rsidRPr="00620E1D">
        <w:rPr>
          <w:rFonts w:eastAsia="Calibri"/>
        </w:rPr>
        <w:t xml:space="preserve"> </w:t>
      </w:r>
      <w:r w:rsidR="00CA563B" w:rsidRPr="00620E1D">
        <w:t xml:space="preserve">Prior to the publication of a draft </w:t>
      </w:r>
      <w:r w:rsidRPr="00620E1D">
        <w:t xml:space="preserve">EIS on the Alaska Roadless Rulemaking, alternatives remain uncertain, and the effects of those unknown alternatives cannot be meaningfully evaluated. The Forest acknowledges that once published it might result in changes to the Forest Plan as well and changes to ongoing projects. NEPA sufficiency reviews may need to be conducted at that time which may or may not result in additional NEPA analysis. </w:t>
      </w:r>
    </w:p>
    <w:p w14:paraId="1750E90F" w14:textId="247F985D" w:rsidR="00DD1848" w:rsidRPr="00620E1D" w:rsidRDefault="00DD1848" w:rsidP="00DD1848">
      <w:r w:rsidRPr="00620E1D">
        <w:rPr>
          <w:b/>
        </w:rPr>
        <w:t>Instruction:</w:t>
      </w:r>
      <w:r w:rsidRPr="00620E1D">
        <w:t xml:space="preserve"> In my review of the FEIS I noted the following error </w:t>
      </w:r>
      <w:r w:rsidR="00CF56BA" w:rsidRPr="00620E1D">
        <w:t>which</w:t>
      </w:r>
      <w:r w:rsidRPr="00620E1D">
        <w:t xml:space="preserve"> I am instructing the </w:t>
      </w:r>
      <w:r w:rsidR="00F954A5" w:rsidRPr="00620E1D">
        <w:t xml:space="preserve">Responsible Official </w:t>
      </w:r>
      <w:r w:rsidRPr="00620E1D">
        <w:t>to correct prior to signing the ROD.</w:t>
      </w:r>
    </w:p>
    <w:p w14:paraId="3337292D" w14:textId="77777777" w:rsidR="00DD1848" w:rsidRPr="00620E1D" w:rsidRDefault="00DD1848" w:rsidP="00DD1848">
      <w:r w:rsidRPr="00620E1D">
        <w:t xml:space="preserve">An errata is needed to remove the following from the FEIS (p. 21) </w:t>
      </w:r>
    </w:p>
    <w:p w14:paraId="6633776A" w14:textId="2AC94A84" w:rsidR="00DD1848" w:rsidRPr="00620E1D" w:rsidRDefault="00DD1848" w:rsidP="00DD1848">
      <w:pPr>
        <w:ind w:left="1440"/>
      </w:pPr>
      <w:r w:rsidRPr="00620E1D">
        <w:t>“The Alaska Roadless Rule w</w:t>
      </w:r>
      <w:r w:rsidR="00620E1D">
        <w:t>ill not make any changes to the</w:t>
      </w:r>
      <w:r w:rsidRPr="00620E1D">
        <w:t xml:space="preserve"> Forest Plan or projects currently being implemented or proposed for implementation. “</w:t>
      </w:r>
    </w:p>
    <w:p w14:paraId="4C36BB3A" w14:textId="77777777" w:rsidR="00CE0D5A" w:rsidRPr="00620E1D" w:rsidRDefault="00CE0D5A" w:rsidP="00DD1848">
      <w:pPr>
        <w:rPr>
          <w:b/>
          <w:lang w:bidi="en-US"/>
        </w:rPr>
      </w:pPr>
    </w:p>
    <w:p w14:paraId="328EB494" w14:textId="073C6214" w:rsidR="00CA563B" w:rsidRPr="00620E1D" w:rsidRDefault="00CA563B" w:rsidP="00CA563B">
      <w:pPr>
        <w:rPr>
          <w:lang w:bidi="en-US"/>
        </w:rPr>
      </w:pPr>
      <w:r w:rsidRPr="00620E1D">
        <w:rPr>
          <w:b/>
          <w:lang w:bidi="en-US"/>
        </w:rPr>
        <w:t>Issue:</w:t>
      </w:r>
      <w:r w:rsidRPr="00620E1D">
        <w:rPr>
          <w:lang w:bidi="en-US"/>
        </w:rPr>
        <w:t xml:space="preserve"> You allege the agency violates the Tongass Timber Reform Act (TTRA), NFMA, and NEPA by not showing how this project is consistent with a current annual market demand analysis. You also allege the Project fails to explain how it fits into the broader Tongass Timber Program and encourages timber industry to accomplish the Forest Plan’s transition out of old-growth logging. </w:t>
      </w:r>
    </w:p>
    <w:p w14:paraId="27B25C52" w14:textId="52FDF177" w:rsidR="00CA563B" w:rsidRPr="00620E1D" w:rsidRDefault="00CA563B" w:rsidP="00CA563B">
      <w:r w:rsidRPr="00620E1D">
        <w:rPr>
          <w:b/>
          <w:lang w:bidi="en-US"/>
        </w:rPr>
        <w:t>Response:</w:t>
      </w:r>
      <w:r w:rsidRPr="00620E1D">
        <w:rPr>
          <w:lang w:bidi="en-US"/>
        </w:rPr>
        <w:t xml:space="preserve"> </w:t>
      </w:r>
      <w:r w:rsidRPr="00620E1D">
        <w:t>The FEIS complies with the TTRA and NFMA by seeking to provide an annual supply of timber to meet market demand. NEPA does not apply to the issue of market demand. The Forest Service explains how the Project fits into the broader Tongass Timber Program by providing a multiple-year stable supply of economic timber. The purpose of the Project is to implement Forest Plan direction and work toward achieving its goals and objectives including transitioning from an old-growth to primarily young-growth timber industry.</w:t>
      </w:r>
    </w:p>
    <w:p w14:paraId="3DE39EB9" w14:textId="6BBAA82C" w:rsidR="00DD1848" w:rsidRPr="00620E1D" w:rsidRDefault="00DD1848" w:rsidP="00DD1848">
      <w:pPr>
        <w:rPr>
          <w:lang w:bidi="en-US"/>
        </w:rPr>
      </w:pPr>
    </w:p>
    <w:p w14:paraId="600378B9" w14:textId="6C2F55F3" w:rsidR="00DD1848" w:rsidRPr="00620E1D" w:rsidRDefault="00DD1848" w:rsidP="00DD1848">
      <w:r w:rsidRPr="00620E1D">
        <w:rPr>
          <w:b/>
          <w:lang w:bidi="en-US"/>
        </w:rPr>
        <w:t>Issue:</w:t>
      </w:r>
      <w:r w:rsidRPr="00620E1D">
        <w:rPr>
          <w:lang w:bidi="en-US"/>
        </w:rPr>
        <w:t xml:space="preserve"> </w:t>
      </w:r>
      <w:r w:rsidR="00EF73AD" w:rsidRPr="00620E1D">
        <w:rPr>
          <w:lang w:bidi="en-US"/>
        </w:rPr>
        <w:tab/>
        <w:t>You allege t</w:t>
      </w:r>
      <w:r w:rsidRPr="00620E1D">
        <w:t xml:space="preserve">he Forest Service acts arbitrarily under NFMA and unlawfully under NEPA by failing to provide a complete economic analysis and an accurate picture of the enormous negative cost-benefit analysis of the </w:t>
      </w:r>
      <w:r w:rsidR="00CA563B" w:rsidRPr="00620E1D">
        <w:t>POWLLA</w:t>
      </w:r>
      <w:r w:rsidRPr="00620E1D">
        <w:t xml:space="preserve"> to the public and the decision-maker.</w:t>
      </w:r>
    </w:p>
    <w:p w14:paraId="7A6B3AF0" w14:textId="77777777" w:rsidR="00EF73AD" w:rsidRPr="00620E1D" w:rsidRDefault="00EF73AD" w:rsidP="00EF73AD">
      <w:r w:rsidRPr="00620E1D">
        <w:rPr>
          <w:b/>
        </w:rPr>
        <w:t>Response:</w:t>
      </w:r>
      <w:r w:rsidRPr="00620E1D">
        <w:t xml:space="preserve"> A financial efficiency or cost-benefit analysis is not required under NEPA or NFMA, only that economic aspects of the project are considered. Forest Service Handbook 2409.18 requires a financial efficiency analysis for timber sale projects developed under the gate system.  </w:t>
      </w:r>
    </w:p>
    <w:p w14:paraId="4D9DBE24" w14:textId="03E2C92A" w:rsidR="00EF73AD" w:rsidRPr="00620E1D" w:rsidRDefault="00EF73AD" w:rsidP="00EF73AD">
      <w:r w:rsidRPr="00620E1D">
        <w:t xml:space="preserve">Because this project is designed to provide multiple projects over a 15-year period, it is neither practicable nor desirable to evaluate each potential timber offering in the FEIS.  Instead, 18 Timber Analysis Areas (FEIS pp 105-116) were identified to describe timber characteristics, road system, and preliminary estimated logging costs. The Forest Plan </w:t>
      </w:r>
      <w:r w:rsidR="00CA563B" w:rsidRPr="00620E1D">
        <w:t xml:space="preserve">Logging Systems Transportation Analysis </w:t>
      </w:r>
      <w:r w:rsidRPr="00620E1D">
        <w:t>(</w:t>
      </w:r>
      <w:r w:rsidR="00CA563B" w:rsidRPr="00620E1D">
        <w:t>LSTA</w:t>
      </w:r>
      <w:r w:rsidRPr="00620E1D">
        <w:t>) was refined to attempt to identify those stands which would have the most economic value. The FEIS Factors Affecting the Economics of Timber Offers and</w:t>
      </w:r>
      <w:r w:rsidR="00620E1D">
        <w:t xml:space="preserve"> Analysis of Costs (pp. 3-113 through </w:t>
      </w:r>
      <w:r w:rsidRPr="00620E1D">
        <w:t>3-125) further discuss</w:t>
      </w:r>
      <w:r w:rsidR="00CA563B" w:rsidRPr="00620E1D">
        <w:t>es</w:t>
      </w:r>
      <w:r w:rsidRPr="00620E1D">
        <w:t xml:space="preserve"> potential ways to influence the economics and costs for future </w:t>
      </w:r>
      <w:r w:rsidR="00CA563B" w:rsidRPr="00620E1D">
        <w:t>timber harvest offers from the P</w:t>
      </w:r>
      <w:r w:rsidRPr="00620E1D">
        <w:t xml:space="preserve">roject. </w:t>
      </w:r>
    </w:p>
    <w:p w14:paraId="6070F0F0" w14:textId="77777777" w:rsidR="00CA563B" w:rsidRPr="00620E1D" w:rsidRDefault="00CA563B" w:rsidP="00CA563B">
      <w:r w:rsidRPr="00620E1D">
        <w:t>The Forest Service complies with NFMA, NEPA, 40 CFR 1502.23, and the agency’s own guidance with regard to a financial efficiency analysis or cost-benefit analysis.</w:t>
      </w:r>
    </w:p>
    <w:p w14:paraId="410A4FC2" w14:textId="43A2A05D" w:rsidR="00EF73AD" w:rsidRPr="00620E1D" w:rsidRDefault="00EF73AD" w:rsidP="00DD1848"/>
    <w:p w14:paraId="328E843D" w14:textId="4178E5D4" w:rsidR="00EF73AD" w:rsidRPr="00620E1D" w:rsidRDefault="00EF73AD" w:rsidP="00EF73AD">
      <w:r w:rsidRPr="00620E1D">
        <w:rPr>
          <w:b/>
        </w:rPr>
        <w:t>Issue:</w:t>
      </w:r>
      <w:r w:rsidRPr="00620E1D">
        <w:t xml:space="preserve"> </w:t>
      </w:r>
      <w:r w:rsidRPr="00620E1D">
        <w:tab/>
      </w:r>
      <w:r w:rsidRPr="00620E1D">
        <w:rPr>
          <w:lang w:bidi="en-US"/>
        </w:rPr>
        <w:t xml:space="preserve">You allege that the </w:t>
      </w:r>
      <w:r w:rsidR="00CA563B" w:rsidRPr="00620E1D">
        <w:rPr>
          <w:lang w:bidi="en-US"/>
        </w:rPr>
        <w:t>Forest Service</w:t>
      </w:r>
      <w:r w:rsidRPr="00620E1D">
        <w:rPr>
          <w:lang w:bidi="en-US"/>
        </w:rPr>
        <w:t xml:space="preserve"> is acting arbitrarily because it has not disclosed in the FEIS how the issues identified from the Washington Office Review of the Tongass timber program were addressed or corrected. You further state t</w:t>
      </w:r>
      <w:r w:rsidRPr="00620E1D">
        <w:t xml:space="preserve">he agency must disclose how it will address these issues before it reaches any final decision regarding the </w:t>
      </w:r>
      <w:r w:rsidR="00CA563B" w:rsidRPr="00620E1D">
        <w:t>POWLLA</w:t>
      </w:r>
      <w:r w:rsidRPr="00620E1D">
        <w:t xml:space="preserve"> Project or it will act unlawfully under NEPA, NFMA, and the other statutes governing timber sales.</w:t>
      </w:r>
    </w:p>
    <w:p w14:paraId="632D587B" w14:textId="77777777" w:rsidR="00CA563B" w:rsidRPr="00620E1D" w:rsidRDefault="00EF73AD" w:rsidP="00CA563B">
      <w:pPr>
        <w:rPr>
          <w:lang w:bidi="en-US"/>
        </w:rPr>
      </w:pPr>
      <w:r w:rsidRPr="00620E1D">
        <w:rPr>
          <w:b/>
        </w:rPr>
        <w:t>Response:</w:t>
      </w:r>
      <w:r w:rsidRPr="00620E1D">
        <w:t xml:space="preserve"> </w:t>
      </w:r>
      <w:r w:rsidR="00CA563B" w:rsidRPr="00620E1D">
        <w:rPr>
          <w:lang w:bidi="en-US"/>
        </w:rPr>
        <w:t xml:space="preserve">Issues identified by the Washington Office Review are appropriately dealt with through Forest Service Manual direction (See FSM 2400-Timber Management; 2420-Timber Sale Appraisals; 2430- Commercial Timber Sales; 2440- Designating, Cruising, Scaling and Accountability and 2450- Timber Sale Contract Administration), Forest Service Handbooks (See FSH 2409.12- Timber Cruising Handbook; 2409.15- Timber Sale Administration; 2409.18-Timber Sale Preparation, and 2409.22-Region 10 Timber Appraisal Handbook) and policy clarification and enforcement. </w:t>
      </w:r>
    </w:p>
    <w:p w14:paraId="5DA85919" w14:textId="77777777" w:rsidR="00CA563B" w:rsidRPr="00620E1D" w:rsidRDefault="00CA563B" w:rsidP="00CA563B">
      <w:pPr>
        <w:rPr>
          <w:rFonts w:eastAsia="Calibri"/>
        </w:rPr>
      </w:pPr>
      <w:r w:rsidRPr="00620E1D">
        <w:rPr>
          <w:rFonts w:eastAsia="Calibri"/>
        </w:rPr>
        <w:t>In response to comments, the Forest Service added a document which explains the Region 10 response to the issues identified by the Washington Office Forest Management Review Team. In addition, relevant Forest Service Manuals and Handbooks have been added to the project record.</w:t>
      </w:r>
    </w:p>
    <w:p w14:paraId="6ADA5B3B" w14:textId="22C3D039" w:rsidR="004B7B9E" w:rsidRPr="00620E1D" w:rsidRDefault="004B7B9E" w:rsidP="00CA563B">
      <w:pPr>
        <w:rPr>
          <w:lang w:bidi="en-US"/>
        </w:rPr>
      </w:pPr>
      <w:r w:rsidRPr="00620E1D">
        <w:rPr>
          <w:rFonts w:eastAsia="Calibri"/>
        </w:rPr>
        <w:t>The corrective actions put in place for future management activities sat</w:t>
      </w:r>
      <w:r w:rsidR="00CA563B" w:rsidRPr="00620E1D">
        <w:rPr>
          <w:rFonts w:eastAsia="Calibri"/>
        </w:rPr>
        <w:t>isfy the NFMA obligations cited;</w:t>
      </w:r>
      <w:r w:rsidR="00CE0D5A" w:rsidRPr="00620E1D">
        <w:rPr>
          <w:rFonts w:eastAsia="Calibri"/>
        </w:rPr>
        <w:t xml:space="preserve"> the Forest Service</w:t>
      </w:r>
      <w:r w:rsidRPr="00620E1D">
        <w:rPr>
          <w:rFonts w:eastAsia="Calibri"/>
        </w:rPr>
        <w:t xml:space="preserve"> </w:t>
      </w:r>
      <w:r w:rsidR="00CE0D5A" w:rsidRPr="00620E1D">
        <w:rPr>
          <w:rFonts w:eastAsia="Calibri"/>
        </w:rPr>
        <w:t>is not acting arbitrarily with respect to either NEPA, NFMA or other laws governing timber sales.</w:t>
      </w:r>
    </w:p>
    <w:p w14:paraId="66AFC058" w14:textId="7F72DDE3" w:rsidR="00EF73AD" w:rsidRPr="00620E1D" w:rsidRDefault="00EF73AD" w:rsidP="00DD1848"/>
    <w:p w14:paraId="7CC1E3D2" w14:textId="459BD25F" w:rsidR="00CF56BA" w:rsidRPr="00620E1D" w:rsidRDefault="00CF56BA" w:rsidP="005B69E9">
      <w:pPr>
        <w:pStyle w:val="Heading3"/>
        <w:spacing w:before="0" w:after="120"/>
        <w:rPr>
          <w:rFonts w:asciiTheme="minorHAnsi" w:hAnsiTheme="minorHAnsi" w:cstheme="minorHAnsi"/>
          <w:color w:val="auto"/>
          <w:sz w:val="22"/>
          <w:szCs w:val="22"/>
        </w:rPr>
      </w:pPr>
      <w:r w:rsidRPr="00620E1D">
        <w:rPr>
          <w:rFonts w:asciiTheme="minorHAnsi" w:hAnsiTheme="minorHAnsi" w:cstheme="minorHAnsi"/>
          <w:b/>
          <w:color w:val="auto"/>
          <w:sz w:val="22"/>
          <w:szCs w:val="22"/>
        </w:rPr>
        <w:t>Issue:</w:t>
      </w:r>
      <w:r w:rsidRPr="00620E1D">
        <w:rPr>
          <w:rFonts w:asciiTheme="minorHAnsi" w:hAnsiTheme="minorHAnsi" w:cstheme="minorHAnsi"/>
          <w:color w:val="auto"/>
          <w:sz w:val="22"/>
          <w:szCs w:val="22"/>
        </w:rPr>
        <w:t xml:space="preserve"> </w:t>
      </w:r>
      <w:r w:rsidRPr="00620E1D">
        <w:rPr>
          <w:rFonts w:asciiTheme="minorHAnsi" w:hAnsiTheme="minorHAnsi" w:cstheme="minorHAnsi"/>
          <w:color w:val="auto"/>
          <w:sz w:val="22"/>
          <w:szCs w:val="22"/>
        </w:rPr>
        <w:tab/>
        <w:t xml:space="preserve">You assert that given the uncertainty of the “condition-based” analysis, the Forest Service’s assessment, disclosure, and consideration of road costs and impacts (including construction, maintenance, and decommissioning) is incomplete and misleading. </w:t>
      </w:r>
      <w:r w:rsidR="00CD1D20" w:rsidRPr="00620E1D">
        <w:rPr>
          <w:rFonts w:asciiTheme="minorHAnsi" w:hAnsiTheme="minorHAnsi" w:cstheme="minorHAnsi"/>
          <w:color w:val="auto"/>
          <w:sz w:val="22"/>
          <w:szCs w:val="22"/>
        </w:rPr>
        <w:t>You allege that t</w:t>
      </w:r>
      <w:r w:rsidRPr="00620E1D">
        <w:rPr>
          <w:rFonts w:asciiTheme="minorHAnsi" w:hAnsiTheme="minorHAnsi" w:cstheme="minorHAnsi"/>
          <w:color w:val="auto"/>
          <w:sz w:val="22"/>
          <w:szCs w:val="22"/>
        </w:rPr>
        <w:t>his renders the FEIS unlawful under NEPA and renders any decision arbitrary under NFMA and the other statu</w:t>
      </w:r>
      <w:r w:rsidR="00CA563B" w:rsidRPr="00620E1D">
        <w:rPr>
          <w:rFonts w:asciiTheme="minorHAnsi" w:hAnsiTheme="minorHAnsi" w:cstheme="minorHAnsi"/>
          <w:color w:val="auto"/>
          <w:sz w:val="22"/>
          <w:szCs w:val="22"/>
        </w:rPr>
        <w:t>te</w:t>
      </w:r>
      <w:r w:rsidRPr="00620E1D">
        <w:rPr>
          <w:rFonts w:asciiTheme="minorHAnsi" w:hAnsiTheme="minorHAnsi" w:cstheme="minorHAnsi"/>
          <w:color w:val="auto"/>
          <w:sz w:val="22"/>
          <w:szCs w:val="22"/>
        </w:rPr>
        <w:t>s governing timber sales.</w:t>
      </w:r>
    </w:p>
    <w:p w14:paraId="2BBAE892" w14:textId="77777777" w:rsidR="00CD1D20" w:rsidRPr="00620E1D" w:rsidRDefault="00CF56BA" w:rsidP="00CD1D20">
      <w:pPr>
        <w:rPr>
          <w:rFonts w:eastAsia="Calibri"/>
        </w:rPr>
      </w:pPr>
      <w:r w:rsidRPr="00620E1D">
        <w:rPr>
          <w:b/>
        </w:rPr>
        <w:t>Response:</w:t>
      </w:r>
      <w:r w:rsidRPr="00620E1D">
        <w:t xml:space="preserve"> </w:t>
      </w:r>
      <w:r w:rsidR="00CD1D20" w:rsidRPr="00620E1D">
        <w:t xml:space="preserve">NEPA requires that the agency should be able to demonstrate that it has taken a careful look at its actions and engaged in reasoned decision-making by using a </w:t>
      </w:r>
      <w:r w:rsidR="00CD1D20" w:rsidRPr="00620E1D">
        <w:rPr>
          <w:color w:val="000000"/>
          <w:kern w:val="22"/>
        </w:rPr>
        <w:t xml:space="preserve">reasonable and reliable process to identify potential environmental effects, and, if adverse impacts are found, use that information to explore options to reduce those impacts while still achieving the project’s objectives. </w:t>
      </w:r>
      <w:r w:rsidR="00CD1D20" w:rsidRPr="00620E1D">
        <w:rPr>
          <w:rFonts w:eastAsia="Calibri"/>
        </w:rPr>
        <w:t>The agency must also be able to explain clearly why the data it has collected and the methodologies it used were adequate to inform the public and the decision-maker of a project’s environmental effects.</w:t>
      </w:r>
    </w:p>
    <w:p w14:paraId="56201E78" w14:textId="323E573E" w:rsidR="00CA563B" w:rsidRPr="00620E1D" w:rsidRDefault="00620E1D" w:rsidP="00CA563B">
      <w:pPr>
        <w:rPr>
          <w:rFonts w:eastAsia="Calibri"/>
        </w:rPr>
      </w:pPr>
      <w:r>
        <w:rPr>
          <w:rFonts w:eastAsia="Calibri"/>
        </w:rPr>
        <w:t>The POW</w:t>
      </w:r>
      <w:r w:rsidR="00CA563B" w:rsidRPr="00620E1D">
        <w:rPr>
          <w:rFonts w:eastAsia="Calibri"/>
        </w:rPr>
        <w:t xml:space="preserve">LLA Project is consistent with the requirements of NEPA in that it </w:t>
      </w:r>
      <w:r w:rsidR="00CA563B" w:rsidRPr="00620E1D">
        <w:t>employs a condition-based management strategy, where implementation of specific actions (described in Activity Cards) varies according to clearly identified on-the-ground and site-specific conditions. This allows flexibility when new information or changed circumstances arising during implementation are discovered, while staying within the design parameters and legal sideboards of the decision’s implementation plan. This level of analysis meets the requirement of NEPA; although the analysis is not acre-by-acre (nor is that required), all the potential actions have been identified and analyzed at the maximum level of implementation allowable within each alternative.</w:t>
      </w:r>
    </w:p>
    <w:p w14:paraId="293DB60A" w14:textId="77777777" w:rsidR="00CA563B" w:rsidRPr="00620E1D" w:rsidRDefault="00CA563B" w:rsidP="00CA563B">
      <w:r w:rsidRPr="00620E1D">
        <w:t xml:space="preserve">The FEIS used Timber Analysis Areas to determine potential timber harvest stands and any needed infrastructure improvements. This method provides the opportunity to estimate the potential transportation logging systems that may be utilized at the landscape level (FEIS, p. 113). The FEIS further explains that road development costs are based upon regional average costs for constructing roads in Southeast Alaska and the cost analyses are only for the miles needed to meet the volumes of each alternative (FEIS, p. 334). Costs are applied based upon an average cost per mile for different classifications of road construction and reconstruction (FEIS, p. 334). Estimated costs are shown in Tables 16 and 90 of the FEIS. Per the Forest Service Manual 1970.6, the responsible line officer determines the scope, appropriate level, and complexity of economic and social evaluations to meet overall objectives and policy. It is also stated in section 1971.1 to only identify economic costs and benefits within the scope of the plan, project, or program. </w:t>
      </w:r>
    </w:p>
    <w:p w14:paraId="1D76588E" w14:textId="77777777" w:rsidR="00CA563B" w:rsidRPr="00620E1D" w:rsidRDefault="00CA563B" w:rsidP="00CA563B">
      <w:r w:rsidRPr="00620E1D">
        <w:t xml:space="preserve">For the statement regarding timber sales being subsidized by public funds, the Consolidated Appropriations Act of 2018 states that timber sales offered in the Alaska Region (Region 10) cannot be deficit sales (H.R. 1625, Section 410). The Act further defines deficit sales as ones where the value of the timber is not sufficient to cover all logging and stumpage costs. This question was also addressed in the FEIS Appendix D, Response to Comments. Per the FEIS, public works funds may be available to pay for all or a portion of the infrastructure cost associated with timber sales (FEIS, p. 114). However, these are congressionally-appropriated funds with a specific intended purpose for timber sale infrastructure needs and they must be used for the intended purpose (FEIS, p. 334). At this time, there are no public works contracts associated with this Project and congressional appropriations cannot be predicted (FEIS, Appendix D, p. 80). </w:t>
      </w:r>
    </w:p>
    <w:p w14:paraId="602FEE90" w14:textId="77777777" w:rsidR="00CA563B" w:rsidRPr="00620E1D" w:rsidRDefault="00CA563B" w:rsidP="00CA563B">
      <w:pPr>
        <w:rPr>
          <w:lang w:bidi="en-US"/>
        </w:rPr>
      </w:pPr>
      <w:r w:rsidRPr="00620E1D">
        <w:t xml:space="preserve">For financial analysis, Forest Service Handbook 2409.18 section 22.2 states that appropriate revenue data sources include (a) a 3-year average of timber sale revenues; (b) the appraised value of the timber as determined through normal appraisal techniques; and (c) average harvest revenue generated from comparable timber sales. The use of regional average for infrastructure costs is appropriate for this project. Therefore, I conclude </w:t>
      </w:r>
      <w:r w:rsidRPr="00620E1D">
        <w:rPr>
          <w:rFonts w:eastAsia="Calibri"/>
        </w:rPr>
        <w:t>The FEIS complies with NEPA requirements</w:t>
      </w:r>
      <w:r w:rsidRPr="00620E1D">
        <w:rPr>
          <w:lang w:bidi="en-US"/>
        </w:rPr>
        <w:t xml:space="preserve"> and any decision under this analysis would not be arbitrary under NFMA or any other statutes governing timber sales. However to ensure clarity of the methodologies used I am issuing the following instructions.</w:t>
      </w:r>
    </w:p>
    <w:p w14:paraId="790EB8BD" w14:textId="4E04E29A" w:rsidR="00CF56BA" w:rsidRPr="00620E1D" w:rsidRDefault="00CD1D20" w:rsidP="00444DA3">
      <w:r w:rsidRPr="00620E1D">
        <w:rPr>
          <w:b/>
        </w:rPr>
        <w:t>Instruction:</w:t>
      </w:r>
      <w:r w:rsidRPr="00620E1D">
        <w:t xml:space="preserve"> </w:t>
      </w:r>
      <w:r w:rsidR="00CF56BA" w:rsidRPr="00620E1D">
        <w:t xml:space="preserve">The </w:t>
      </w:r>
      <w:r w:rsidR="00F954A5" w:rsidRPr="00620E1D">
        <w:t xml:space="preserve">Responsible Official </w:t>
      </w:r>
      <w:r w:rsidR="00CF56BA" w:rsidRPr="00620E1D">
        <w:t xml:space="preserve">needs to </w:t>
      </w:r>
      <w:r w:rsidRPr="00620E1D">
        <w:t>i</w:t>
      </w:r>
      <w:r w:rsidR="00A45405" w:rsidRPr="00620E1D">
        <w:t xml:space="preserve">nclude </w:t>
      </w:r>
      <w:r w:rsidR="0005685B" w:rsidRPr="00620E1D">
        <w:t>the methods</w:t>
      </w:r>
      <w:r w:rsidR="00A45405" w:rsidRPr="00620E1D">
        <w:t xml:space="preserve"> and </w:t>
      </w:r>
      <w:r w:rsidRPr="00620E1D">
        <w:t>supporting documentation r</w:t>
      </w:r>
      <w:r w:rsidR="00A45405" w:rsidRPr="00620E1D">
        <w:t xml:space="preserve">eferencing </w:t>
      </w:r>
      <w:r w:rsidR="0005685B" w:rsidRPr="00620E1D">
        <w:t xml:space="preserve">how </w:t>
      </w:r>
      <w:r w:rsidR="00A45405" w:rsidRPr="00620E1D">
        <w:t>regional road costs</w:t>
      </w:r>
      <w:r w:rsidR="0005685B" w:rsidRPr="00620E1D">
        <w:t xml:space="preserve"> are analyzed</w:t>
      </w:r>
      <w:r w:rsidR="00A45405" w:rsidRPr="00620E1D">
        <w:t xml:space="preserve">. </w:t>
      </w:r>
      <w:r w:rsidR="00CF56BA" w:rsidRPr="00620E1D">
        <w:t>This may be done with a regional average tracking spreadsheet or some other method that demonstrates methodologies used and sources relied upon for his conclusions.</w:t>
      </w:r>
    </w:p>
    <w:p w14:paraId="5EDEDF7F" w14:textId="77777777" w:rsidR="00A45405" w:rsidRPr="00620E1D" w:rsidRDefault="00A45405" w:rsidP="00CE0D5A">
      <w:pPr>
        <w:rPr>
          <w:b/>
          <w:lang w:bidi="en-US"/>
        </w:rPr>
      </w:pPr>
    </w:p>
    <w:p w14:paraId="054BC5FE" w14:textId="6D280C81" w:rsidR="00CE0D5A" w:rsidRPr="00620E1D" w:rsidRDefault="00CE0D5A" w:rsidP="00CE0D5A">
      <w:r w:rsidRPr="00620E1D">
        <w:rPr>
          <w:b/>
          <w:lang w:bidi="en-US"/>
        </w:rPr>
        <w:t>Issue:</w:t>
      </w:r>
      <w:r w:rsidRPr="00620E1D">
        <w:rPr>
          <w:lang w:bidi="en-US"/>
        </w:rPr>
        <w:t xml:space="preserve"> </w:t>
      </w:r>
      <w:r w:rsidRPr="00620E1D">
        <w:rPr>
          <w:lang w:bidi="en-US"/>
        </w:rPr>
        <w:tab/>
        <w:t>You allege t</w:t>
      </w:r>
      <w:r w:rsidRPr="00620E1D">
        <w:t>he F</w:t>
      </w:r>
      <w:r w:rsidR="00CA563B" w:rsidRPr="00620E1D">
        <w:t xml:space="preserve">orest </w:t>
      </w:r>
      <w:r w:rsidRPr="00620E1D">
        <w:t>S</w:t>
      </w:r>
      <w:r w:rsidR="00CA563B" w:rsidRPr="00620E1D">
        <w:t>ervice</w:t>
      </w:r>
      <w:r w:rsidRPr="00620E1D">
        <w:t xml:space="preserve"> fails to address the implications of, and alternatives to, its decision to adopt and implement the export policies. </w:t>
      </w:r>
      <w:r w:rsidR="00CA563B" w:rsidRPr="00620E1D">
        <w:t>According to you, by</w:t>
      </w:r>
      <w:r w:rsidRPr="00620E1D">
        <w:t xml:space="preserve"> failing to subject those policy decisions to environmental review, the Forest Service is acting contrary </w:t>
      </w:r>
      <w:r w:rsidR="00CA563B" w:rsidRPr="00620E1D">
        <w:t xml:space="preserve">to </w:t>
      </w:r>
      <w:r w:rsidRPr="00620E1D">
        <w:t>NEPA, NFMA, and the other timber sale statutes governing timber sale decisions.</w:t>
      </w:r>
    </w:p>
    <w:p w14:paraId="0E81C158" w14:textId="1CA5AA76" w:rsidR="00CE0D5A" w:rsidRPr="00620E1D" w:rsidRDefault="00CE0D5A" w:rsidP="00CE0D5A">
      <w:r w:rsidRPr="00620E1D">
        <w:rPr>
          <w:b/>
        </w:rPr>
        <w:t>Response:</w:t>
      </w:r>
      <w:r w:rsidRPr="00620E1D">
        <w:t xml:space="preserve"> The issue of export and export jobs is addressed in the response to comments on t</w:t>
      </w:r>
      <w:r w:rsidR="00CA563B" w:rsidRPr="00620E1D">
        <w:t>he POWLLA FEIS in Appendix D, p</w:t>
      </w:r>
      <w:r w:rsidRPr="00620E1D">
        <w:t>. 4</w:t>
      </w:r>
      <w:r w:rsidR="00CA563B" w:rsidRPr="00620E1D">
        <w:t xml:space="preserve">6 and pp. 38-39 respectively. </w:t>
      </w:r>
      <w:r w:rsidRPr="00620E1D">
        <w:t xml:space="preserve">Objections to the Alaska Region’s limited export policy were also </w:t>
      </w:r>
      <w:r w:rsidR="00620E1D">
        <w:t>included in the decision on the</w:t>
      </w:r>
      <w:r w:rsidRPr="00620E1D">
        <w:t xml:space="preserve"> </w:t>
      </w:r>
      <w:r w:rsidR="00620E1D">
        <w:t>Forest Plan</w:t>
      </w:r>
      <w:r w:rsidRPr="00620E1D">
        <w:t xml:space="preserve">. This issue was responded to at that time and is outside the scope of a project-level NEPA analysis </w:t>
      </w:r>
      <w:r w:rsidR="00620E1D">
        <w:t xml:space="preserve">(Forest </w:t>
      </w:r>
      <w:r w:rsidRPr="00620E1D">
        <w:t>Plan</w:t>
      </w:r>
      <w:r w:rsidR="00620E1D">
        <w:t>,</w:t>
      </w:r>
      <w:r w:rsidRPr="00620E1D">
        <w:t xml:space="preserve"> p</w:t>
      </w:r>
      <w:r w:rsidR="00CA563B" w:rsidRPr="00620E1D">
        <w:t>p</w:t>
      </w:r>
      <w:r w:rsidRPr="00620E1D">
        <w:t xml:space="preserve">. 138-141 of that response. Also, the </w:t>
      </w:r>
      <w:r w:rsidR="00620E1D">
        <w:t>Forest Plan</w:t>
      </w:r>
      <w:r w:rsidRPr="00620E1D">
        <w:t xml:space="preserve"> FEIS, Appendix H describes the history of export in Alaska including the Limited Export Policy plus the effects of the policy on the Tongass.</w:t>
      </w:r>
    </w:p>
    <w:p w14:paraId="315EDCC2" w14:textId="44492738" w:rsidR="00CE0D5A" w:rsidRPr="00620E1D" w:rsidRDefault="00CE0D5A" w:rsidP="00CE0D5A">
      <w:r w:rsidRPr="00620E1D">
        <w:t xml:space="preserve">The limited export policy is consistent with applicable law and regulation. The </w:t>
      </w:r>
      <w:r w:rsidR="00620E1D">
        <w:t>Forest</w:t>
      </w:r>
      <w:r w:rsidRPr="00620E1D">
        <w:t xml:space="preserve"> and the export policy are programmatic decisions which neither authorize nor compel an action. The effects of the</w:t>
      </w:r>
      <w:r w:rsidR="00CA563B" w:rsidRPr="00620E1D">
        <w:t xml:space="preserve"> export policy on employment have</w:t>
      </w:r>
      <w:r w:rsidRPr="00620E1D">
        <w:t xml:space="preserve"> been reasonably evaluated and displayed in the Plan Amendment FEIS, and these employment coefficients will be useful as site-specific projects are proposed to evaluate alternatives and their contributions to the local timber industry. </w:t>
      </w:r>
      <w:r w:rsidR="00CA563B" w:rsidRPr="00620E1D">
        <w:t>The</w:t>
      </w:r>
      <w:r w:rsidRPr="00620E1D">
        <w:t xml:space="preserve"> POWLLA FEIS clearly displays the effects of the export policy on jobs in a manner consistent with that promoted and analyzed in the </w:t>
      </w:r>
      <w:r w:rsidR="00620E1D">
        <w:t>Forest Plan</w:t>
      </w:r>
      <w:r w:rsidRPr="00620E1D">
        <w:t>. The case-by-case consideration of additional export is consistent with the expressed authority granted t</w:t>
      </w:r>
      <w:r w:rsidR="00CA563B" w:rsidRPr="00620E1D">
        <w:t xml:space="preserve">he Regional Forester in 36 CFR </w:t>
      </w:r>
      <w:r w:rsidRPr="00620E1D">
        <w:t>223.201.</w:t>
      </w:r>
    </w:p>
    <w:p w14:paraId="4B6A3908" w14:textId="77777777" w:rsidR="0005685B" w:rsidRPr="00620E1D" w:rsidRDefault="0005685B" w:rsidP="00B8016C">
      <w:pPr>
        <w:rPr>
          <w:b/>
        </w:rPr>
      </w:pPr>
    </w:p>
    <w:p w14:paraId="1F47C669" w14:textId="693BABE9" w:rsidR="00CE0D5A" w:rsidRPr="00620E1D" w:rsidRDefault="005B69E9" w:rsidP="00B8016C">
      <w:pPr>
        <w:rPr>
          <w:b/>
        </w:rPr>
      </w:pPr>
      <w:r w:rsidRPr="00620E1D">
        <w:rPr>
          <w:b/>
        </w:rPr>
        <w:t>SUMM</w:t>
      </w:r>
      <w:r w:rsidR="00CD2D3F" w:rsidRPr="00620E1D">
        <w:rPr>
          <w:b/>
        </w:rPr>
        <w:t>A</w:t>
      </w:r>
      <w:r w:rsidRPr="00620E1D">
        <w:rPr>
          <w:b/>
        </w:rPr>
        <w:t>RY:</w:t>
      </w:r>
    </w:p>
    <w:p w14:paraId="6EC93EF1" w14:textId="6E78F9EC" w:rsidR="00D71038" w:rsidRPr="00874EF0" w:rsidRDefault="00D71038" w:rsidP="00D71038">
      <w:pPr>
        <w:rPr>
          <w:b/>
        </w:rPr>
      </w:pPr>
      <w:r w:rsidRPr="00620E1D">
        <w:t xml:space="preserve">I have reviewed your objections and note that your concerns have been addressed in the FEIS. During my review of the FEIS I noted some </w:t>
      </w:r>
      <w:r w:rsidR="00B70BF0" w:rsidRPr="00620E1D">
        <w:t xml:space="preserve">instructions and </w:t>
      </w:r>
      <w:r w:rsidRPr="00620E1D">
        <w:t xml:space="preserve">recommendations </w:t>
      </w:r>
      <w:r w:rsidR="00B70BF0" w:rsidRPr="00620E1D">
        <w:t xml:space="preserve">to the </w:t>
      </w:r>
      <w:r w:rsidR="00F954A5" w:rsidRPr="00620E1D">
        <w:t xml:space="preserve">Responsible Official </w:t>
      </w:r>
      <w:r w:rsidR="00B70BF0" w:rsidRPr="00620E1D">
        <w:t>in</w:t>
      </w:r>
      <w:r w:rsidRPr="00620E1D">
        <w:t xml:space="preserve"> some of the above issues. The recommendations are optional items for the responsible officer to consider prior to signing the final decision and should not be confused with instructions which the </w:t>
      </w:r>
      <w:r w:rsidR="00F954A5" w:rsidRPr="00620E1D">
        <w:t xml:space="preserve">Responsible Official </w:t>
      </w:r>
      <w:r w:rsidRPr="00620E1D">
        <w:t xml:space="preserve">is required to complete prior to signing the final decision. My review constitutes the final administrative determination of the Department of agriculture: no further review from any other Forest Service or Department of Agriculture official of my written response to your objection is available (36 CFR 218.11(b)(2)). The </w:t>
      </w:r>
      <w:r w:rsidR="00F954A5" w:rsidRPr="00620E1D">
        <w:t xml:space="preserve">Responsible Official </w:t>
      </w:r>
      <w:r w:rsidRPr="00620E1D">
        <w:t>may sign the Record of De</w:t>
      </w:r>
      <w:r w:rsidR="00CA563B" w:rsidRPr="00620E1D">
        <w:t>cision for this project once all</w:t>
      </w:r>
      <w:r w:rsidRPr="00620E1D">
        <w:t xml:space="preserve"> instructions are completed.</w:t>
      </w:r>
      <w:r w:rsidRPr="00874EF0">
        <w:rPr>
          <w:b/>
        </w:rPr>
        <w:t xml:space="preserve"> </w:t>
      </w:r>
    </w:p>
    <w:p w14:paraId="38929B15" w14:textId="77777777" w:rsidR="00A82C39" w:rsidRDefault="00A82C39" w:rsidP="00992B5F"/>
    <w:p w14:paraId="7280C11A" w14:textId="77777777" w:rsidR="005B69E9" w:rsidRDefault="005B69E9" w:rsidP="00992B5F"/>
    <w:p w14:paraId="507CEF04" w14:textId="77777777" w:rsidR="005B69E9" w:rsidRDefault="005B69E9" w:rsidP="00992B5F"/>
    <w:p w14:paraId="63EA4DEF" w14:textId="313EF565" w:rsidR="005B69E9" w:rsidRPr="0011700E" w:rsidRDefault="005B69E9" w:rsidP="00992B5F"/>
    <w:sectPr w:rsidR="005B69E9" w:rsidRPr="001170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69B29" w14:textId="77777777" w:rsidR="003A06E8" w:rsidRDefault="003A06E8" w:rsidP="00381931">
      <w:pPr>
        <w:spacing w:after="0"/>
      </w:pPr>
      <w:r>
        <w:separator/>
      </w:r>
    </w:p>
  </w:endnote>
  <w:endnote w:type="continuationSeparator" w:id="0">
    <w:p w14:paraId="47E9FF3F" w14:textId="77777777" w:rsidR="003A06E8" w:rsidRDefault="003A06E8"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516355"/>
      <w:docPartObj>
        <w:docPartGallery w:val="Page Numbers (Bottom of Page)"/>
        <w:docPartUnique/>
      </w:docPartObj>
    </w:sdtPr>
    <w:sdtEndPr>
      <w:rPr>
        <w:color w:val="7F7F7F" w:themeColor="background1" w:themeShade="7F"/>
        <w:spacing w:val="60"/>
      </w:rPr>
    </w:sdtEndPr>
    <w:sdtContent>
      <w:p w14:paraId="54CB2BC7" w14:textId="751957A2" w:rsidR="00444DA3" w:rsidRDefault="00444D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A06E8" w:rsidRPr="003A06E8">
          <w:rPr>
            <w:b/>
            <w:bCs/>
            <w:noProof/>
          </w:rPr>
          <w:t>1</w:t>
        </w:r>
        <w:r>
          <w:rPr>
            <w:b/>
            <w:bCs/>
            <w:noProof/>
          </w:rPr>
          <w:fldChar w:fldCharType="end"/>
        </w:r>
        <w:r>
          <w:rPr>
            <w:b/>
            <w:bCs/>
          </w:rPr>
          <w:t xml:space="preserve"> | </w:t>
        </w:r>
        <w:r>
          <w:rPr>
            <w:color w:val="7F7F7F" w:themeColor="background1" w:themeShade="7F"/>
            <w:spacing w:val="60"/>
          </w:rPr>
          <w:t>Page</w:t>
        </w:r>
      </w:p>
    </w:sdtContent>
  </w:sdt>
  <w:p w14:paraId="5552EA5C" w14:textId="77777777" w:rsidR="00444DA3" w:rsidRDefault="00444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14147" w14:textId="77777777" w:rsidR="003A06E8" w:rsidRDefault="003A06E8" w:rsidP="00381931">
      <w:pPr>
        <w:spacing w:after="0"/>
      </w:pPr>
      <w:r>
        <w:separator/>
      </w:r>
    </w:p>
  </w:footnote>
  <w:footnote w:type="continuationSeparator" w:id="0">
    <w:p w14:paraId="4BE15588" w14:textId="77777777" w:rsidR="003A06E8" w:rsidRDefault="003A06E8"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A017" w14:textId="77777777" w:rsidR="00381931" w:rsidRDefault="00381931">
    <w:pPr>
      <w:pStyle w:val="Header"/>
    </w:pPr>
    <w:r>
      <w:t>Objection</w:t>
    </w:r>
    <w:r w:rsidR="00F22D95">
      <w:t xml:space="preserve"> Response POWLLA # 19-10-00-0011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01B4B"/>
    <w:multiLevelType w:val="hybridMultilevel"/>
    <w:tmpl w:val="6EBE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032B3"/>
    <w:multiLevelType w:val="hybridMultilevel"/>
    <w:tmpl w:val="E4C64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037C7"/>
    <w:rsid w:val="0003666C"/>
    <w:rsid w:val="00045FBB"/>
    <w:rsid w:val="0005685B"/>
    <w:rsid w:val="00067A43"/>
    <w:rsid w:val="00085F33"/>
    <w:rsid w:val="000C6897"/>
    <w:rsid w:val="000F6A0B"/>
    <w:rsid w:val="0011700E"/>
    <w:rsid w:val="00120A39"/>
    <w:rsid w:val="00127CB4"/>
    <w:rsid w:val="001541C5"/>
    <w:rsid w:val="00185B5A"/>
    <w:rsid w:val="001A35C6"/>
    <w:rsid w:val="001D3904"/>
    <w:rsid w:val="002378B9"/>
    <w:rsid w:val="0031725C"/>
    <w:rsid w:val="003329E0"/>
    <w:rsid w:val="00332B9D"/>
    <w:rsid w:val="00351C6D"/>
    <w:rsid w:val="00381931"/>
    <w:rsid w:val="003A06E8"/>
    <w:rsid w:val="003F4755"/>
    <w:rsid w:val="00403303"/>
    <w:rsid w:val="00444DA3"/>
    <w:rsid w:val="00470104"/>
    <w:rsid w:val="0047257E"/>
    <w:rsid w:val="004A2A92"/>
    <w:rsid w:val="004A6C10"/>
    <w:rsid w:val="004B7B9E"/>
    <w:rsid w:val="004F6BD0"/>
    <w:rsid w:val="004F772B"/>
    <w:rsid w:val="00500EC7"/>
    <w:rsid w:val="00511EA5"/>
    <w:rsid w:val="005A66E7"/>
    <w:rsid w:val="005A6DE2"/>
    <w:rsid w:val="005A7CC1"/>
    <w:rsid w:val="005B69E9"/>
    <w:rsid w:val="00620E1D"/>
    <w:rsid w:val="006A034C"/>
    <w:rsid w:val="006A2BE6"/>
    <w:rsid w:val="006E05C9"/>
    <w:rsid w:val="006E16C8"/>
    <w:rsid w:val="006E41DD"/>
    <w:rsid w:val="00715087"/>
    <w:rsid w:val="00750DCD"/>
    <w:rsid w:val="00766142"/>
    <w:rsid w:val="007C3689"/>
    <w:rsid w:val="007F610A"/>
    <w:rsid w:val="00816F45"/>
    <w:rsid w:val="00855713"/>
    <w:rsid w:val="0089492E"/>
    <w:rsid w:val="008B1365"/>
    <w:rsid w:val="008C3208"/>
    <w:rsid w:val="008E71B9"/>
    <w:rsid w:val="00942940"/>
    <w:rsid w:val="00946130"/>
    <w:rsid w:val="00955E7D"/>
    <w:rsid w:val="00960B05"/>
    <w:rsid w:val="00973DCC"/>
    <w:rsid w:val="00991961"/>
    <w:rsid w:val="00992B5F"/>
    <w:rsid w:val="009C01BE"/>
    <w:rsid w:val="009E5F65"/>
    <w:rsid w:val="00A45405"/>
    <w:rsid w:val="00A57F58"/>
    <w:rsid w:val="00A82C39"/>
    <w:rsid w:val="00A92E3E"/>
    <w:rsid w:val="00AC2E4E"/>
    <w:rsid w:val="00AD492A"/>
    <w:rsid w:val="00AD5216"/>
    <w:rsid w:val="00AE7E23"/>
    <w:rsid w:val="00AE7E85"/>
    <w:rsid w:val="00B334A5"/>
    <w:rsid w:val="00B41423"/>
    <w:rsid w:val="00B63D52"/>
    <w:rsid w:val="00B70BF0"/>
    <w:rsid w:val="00B74046"/>
    <w:rsid w:val="00B8016C"/>
    <w:rsid w:val="00BA27BB"/>
    <w:rsid w:val="00BF4B34"/>
    <w:rsid w:val="00C329E3"/>
    <w:rsid w:val="00CA563B"/>
    <w:rsid w:val="00CB5D84"/>
    <w:rsid w:val="00CD1D20"/>
    <w:rsid w:val="00CD2D3F"/>
    <w:rsid w:val="00CE0D5A"/>
    <w:rsid w:val="00CF56BA"/>
    <w:rsid w:val="00D31083"/>
    <w:rsid w:val="00D426D6"/>
    <w:rsid w:val="00D43037"/>
    <w:rsid w:val="00D71038"/>
    <w:rsid w:val="00D86723"/>
    <w:rsid w:val="00DD1848"/>
    <w:rsid w:val="00DE196E"/>
    <w:rsid w:val="00DE1E9A"/>
    <w:rsid w:val="00DE5285"/>
    <w:rsid w:val="00DE79F0"/>
    <w:rsid w:val="00E5563A"/>
    <w:rsid w:val="00E81D09"/>
    <w:rsid w:val="00EC1C32"/>
    <w:rsid w:val="00ED3279"/>
    <w:rsid w:val="00EF73AD"/>
    <w:rsid w:val="00F22D95"/>
    <w:rsid w:val="00F62D61"/>
    <w:rsid w:val="00F760A5"/>
    <w:rsid w:val="00F954A5"/>
    <w:rsid w:val="00FA1833"/>
    <w:rsid w:val="00FC74D0"/>
    <w:rsid w:val="00FD32EF"/>
    <w:rsid w:val="00FF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B4F7"/>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4A6C10"/>
    <w:pPr>
      <w:keepNext/>
      <w:keepLines/>
      <w:spacing w:before="120" w:after="0"/>
      <w:outlineLvl w:val="1"/>
    </w:pPr>
    <w:rPr>
      <w:rFonts w:asciiTheme="minorHAnsi" w:eastAsia="Calibri" w:hAnsiTheme="minorHAnsi" w:cstheme="minorHAnsi"/>
      <w:b/>
      <w:szCs w:val="26"/>
    </w:rPr>
  </w:style>
  <w:style w:type="paragraph" w:styleId="Heading3">
    <w:name w:val="heading 3"/>
    <w:basedOn w:val="Normal"/>
    <w:next w:val="Normal"/>
    <w:link w:val="Heading3Char"/>
    <w:uiPriority w:val="9"/>
    <w:semiHidden/>
    <w:unhideWhenUsed/>
    <w:qFormat/>
    <w:rsid w:val="00D426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6C10"/>
    <w:rPr>
      <w:rFonts w:eastAsia="Calibri" w:cstheme="minorHAnsi"/>
      <w:b/>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semiHidden/>
    <w:rsid w:val="00D426D6"/>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FF2CFB"/>
    <w:rPr>
      <w:sz w:val="16"/>
      <w:szCs w:val="16"/>
    </w:rPr>
  </w:style>
  <w:style w:type="paragraph" w:styleId="CommentText">
    <w:name w:val="annotation text"/>
    <w:basedOn w:val="Normal"/>
    <w:link w:val="CommentTextChar"/>
    <w:uiPriority w:val="99"/>
    <w:semiHidden/>
    <w:unhideWhenUsed/>
    <w:rsid w:val="00FF2CFB"/>
    <w:rPr>
      <w:sz w:val="20"/>
      <w:szCs w:val="20"/>
    </w:rPr>
  </w:style>
  <w:style w:type="character" w:customStyle="1" w:styleId="CommentTextChar">
    <w:name w:val="Comment Text Char"/>
    <w:basedOn w:val="DefaultParagraphFont"/>
    <w:link w:val="CommentText"/>
    <w:uiPriority w:val="99"/>
    <w:semiHidden/>
    <w:rsid w:val="00FF2CF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F2CFB"/>
    <w:rPr>
      <w:b/>
      <w:bCs/>
    </w:rPr>
  </w:style>
  <w:style w:type="character" w:customStyle="1" w:styleId="CommentSubjectChar">
    <w:name w:val="Comment Subject Char"/>
    <w:basedOn w:val="CommentTextChar"/>
    <w:link w:val="CommentSubject"/>
    <w:uiPriority w:val="99"/>
    <w:semiHidden/>
    <w:rsid w:val="00FF2CFB"/>
    <w:rPr>
      <w:rFonts w:ascii="Calibri" w:hAnsi="Calibri" w:cs="Calibri"/>
      <w:b/>
      <w:bCs/>
      <w:sz w:val="20"/>
      <w:szCs w:val="20"/>
    </w:rPr>
  </w:style>
  <w:style w:type="paragraph" w:styleId="BalloonText">
    <w:name w:val="Balloon Text"/>
    <w:basedOn w:val="Normal"/>
    <w:link w:val="BalloonTextChar"/>
    <w:uiPriority w:val="99"/>
    <w:semiHidden/>
    <w:unhideWhenUsed/>
    <w:rsid w:val="00FF2C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CFB"/>
    <w:rPr>
      <w:rFonts w:ascii="Segoe UI" w:hAnsi="Segoe UI" w:cs="Segoe UI"/>
      <w:sz w:val="18"/>
      <w:szCs w:val="18"/>
    </w:rPr>
  </w:style>
  <w:style w:type="character" w:styleId="Hyperlink">
    <w:name w:val="Hyperlink"/>
    <w:basedOn w:val="DefaultParagraphFont"/>
    <w:uiPriority w:val="99"/>
    <w:unhideWhenUsed/>
    <w:rsid w:val="00FA1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8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rctos.database.museum/SpecimenSearch.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5341</Words>
  <Characters>30446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2019-03-02T00:18:00Z</dcterms:created>
  <dcterms:modified xsi:type="dcterms:W3CDTF">2019-03-02T00:18:00Z</dcterms:modified>
</cp:coreProperties>
</file>