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7F132" w14:textId="77777777" w:rsidR="0085737B" w:rsidRPr="008E21FD" w:rsidRDefault="0085737B" w:rsidP="0085737B">
      <w:bookmarkStart w:id="0" w:name="_GoBack"/>
      <w:bookmarkEnd w:id="0"/>
      <w:r w:rsidRPr="005A66E7">
        <w:rPr>
          <w:b/>
        </w:rPr>
        <w:t>Issue:</w:t>
      </w:r>
      <w:r>
        <w:t xml:space="preserve"> You allege</w:t>
      </w:r>
      <w:r w:rsidRPr="00FD7555">
        <w:t xml:space="preserve"> the F</w:t>
      </w:r>
      <w:r>
        <w:t xml:space="preserve">orest </w:t>
      </w:r>
      <w:r w:rsidRPr="00FD7555">
        <w:t>S</w:t>
      </w:r>
      <w:r>
        <w:t>ervice</w:t>
      </w:r>
      <w:r w:rsidRPr="00FD7555">
        <w:t xml:space="preserve"> arbitrarily failed to discuss the current status of island fish populations or the relevance of salmon production trends across </w:t>
      </w:r>
      <w:r>
        <w:t>Southeast Alaska, and that the p</w:t>
      </w:r>
      <w:r w:rsidRPr="00FD7555">
        <w:t xml:space="preserve">roject will further impair salmon populations. </w:t>
      </w:r>
      <w:r>
        <w:t>You</w:t>
      </w:r>
      <w:r w:rsidRPr="00FD7555">
        <w:t xml:space="preserve"> further </w:t>
      </w:r>
      <w:r>
        <w:t>allege</w:t>
      </w:r>
      <w:r w:rsidRPr="00FD7555">
        <w:t xml:space="preserve"> that the FEIS violated </w:t>
      </w:r>
      <w:r>
        <w:t>the National Environmental Policy Act (</w:t>
      </w:r>
      <w:r w:rsidRPr="00FD7555">
        <w:t>NEPA</w:t>
      </w:r>
      <w:r>
        <w:t>)</w:t>
      </w:r>
      <w:r w:rsidRPr="00FD7555">
        <w:t xml:space="preserve"> by failing to respond to public comment on this issue.</w:t>
      </w:r>
    </w:p>
    <w:p w14:paraId="082CBF9E" w14:textId="4F3FA17A" w:rsidR="0085737B" w:rsidRDefault="0085737B" w:rsidP="0085737B">
      <w:r w:rsidRPr="00750DCD">
        <w:rPr>
          <w:b/>
        </w:rPr>
        <w:t>Response:</w:t>
      </w:r>
      <w:r>
        <w:t xml:space="preserve"> </w:t>
      </w:r>
      <w:r w:rsidRPr="00ED1068">
        <w:t xml:space="preserve">After reviewing the </w:t>
      </w:r>
      <w:r w:rsidR="00F65C48">
        <w:t>record, I conclude that the POW</w:t>
      </w:r>
      <w:r w:rsidRPr="00ED1068">
        <w:t>LLA FEIS includes a considerable discussion of the existing condition of aquatic resources including those impacted by past management activities</w:t>
      </w:r>
      <w:r>
        <w:t xml:space="preserve">. The analysis shows that there still are issues with road crossings that do not meet fish passage standards and there are instream restoration needs. These issues are a priority for the Forest and we have completed a great deal of work to remedy the highest priority areas. This work will continue. </w:t>
      </w:r>
      <w:r w:rsidRPr="00ED1068">
        <w:t>The document and reference documents include a thorough discussion about salmon stocks, as measured by annual commercial harvest, and how they may or may not be impacted by past forest management</w:t>
      </w:r>
      <w:r>
        <w:t xml:space="preserve">. </w:t>
      </w:r>
      <w:r w:rsidRPr="00ED1068">
        <w:t>Because of the wide</w:t>
      </w:r>
      <w:r>
        <w:t>-</w:t>
      </w:r>
      <w:r w:rsidRPr="00ED1068">
        <w:t>ranging pink salmon annual harvest numbers, new data that shows recent low returns would not alter the discussion</w:t>
      </w:r>
      <w:r>
        <w:t xml:space="preserve">. </w:t>
      </w:r>
      <w:r w:rsidRPr="00ED1068">
        <w:t>I also find that the response to comments in Appendix D of the FEIS does include discussions that pertain directly to the above issues</w:t>
      </w:r>
      <w:r>
        <w:t xml:space="preserve">. </w:t>
      </w:r>
      <w:r w:rsidRPr="00ED1068">
        <w:t xml:space="preserve"> </w:t>
      </w:r>
    </w:p>
    <w:p w14:paraId="37BFC992" w14:textId="77777777" w:rsidR="0085737B" w:rsidRDefault="0085737B" w:rsidP="0085737B">
      <w:pPr>
        <w:rPr>
          <w:b/>
        </w:rPr>
      </w:pPr>
    </w:p>
    <w:p w14:paraId="53A4B038" w14:textId="40602292" w:rsidR="0085737B" w:rsidRPr="00121A3F" w:rsidRDefault="0085737B" w:rsidP="0085737B">
      <w:r w:rsidRPr="00D357C9">
        <w:rPr>
          <w:b/>
        </w:rPr>
        <w:t>Issue:</w:t>
      </w:r>
      <w:r>
        <w:t xml:space="preserve"> You assert that t</w:t>
      </w:r>
      <w:r w:rsidRPr="005F4115">
        <w:t xml:space="preserve">he </w:t>
      </w:r>
      <w:r w:rsidR="003A3610">
        <w:t xml:space="preserve">Responsible Official </w:t>
      </w:r>
      <w:r w:rsidRPr="005F4115">
        <w:t>and the environmental analysis failed to adequately explain or provide convincing reasons in support of the effects determinations for salmon and further failed to provide the information necessary to understand and evaluate project impacts, in violation of NEPA</w:t>
      </w:r>
      <w:r>
        <w:t>.</w:t>
      </w:r>
    </w:p>
    <w:p w14:paraId="70092770" w14:textId="43BEADF2" w:rsidR="0085737B" w:rsidRPr="000E755E" w:rsidRDefault="0085737B" w:rsidP="0085737B">
      <w:r w:rsidRPr="00D357C9">
        <w:rPr>
          <w:b/>
        </w:rPr>
        <w:t>Response:</w:t>
      </w:r>
      <w:r>
        <w:t xml:space="preserve"> </w:t>
      </w:r>
      <w:r w:rsidRPr="000E755E">
        <w:t>There is a discussion on the effects of forest management on salmonid stocks as well as important habitat in</w:t>
      </w:r>
      <w:r w:rsidRPr="000E755E">
        <w:rPr>
          <w:noProof/>
          <w:color w:val="000000"/>
        </w:rPr>
        <w:t xml:space="preserve"> </w:t>
      </w:r>
      <w:r>
        <w:rPr>
          <w:noProof/>
          <w:color w:val="000000"/>
        </w:rPr>
        <w:t xml:space="preserve">the </w:t>
      </w:r>
      <w:r w:rsidR="00F65C48">
        <w:rPr>
          <w:noProof/>
          <w:color w:val="000000"/>
        </w:rPr>
        <w:t>POW</w:t>
      </w:r>
      <w:r w:rsidRPr="000E755E">
        <w:rPr>
          <w:noProof/>
          <w:color w:val="000000"/>
        </w:rPr>
        <w:t>LLA FEIS</w:t>
      </w:r>
      <w:r w:rsidRPr="000E755E">
        <w:t xml:space="preserve"> </w:t>
      </w:r>
      <w:r>
        <w:t>(</w:t>
      </w:r>
      <w:r w:rsidRPr="000E755E">
        <w:t>pp. 136-137</w:t>
      </w:r>
      <w:r>
        <w:t xml:space="preserve">). </w:t>
      </w:r>
      <w:r w:rsidRPr="000E755E">
        <w:t>This di</w:t>
      </w:r>
      <w:r w:rsidR="0044318C">
        <w:t>scussion specifically includes C</w:t>
      </w:r>
      <w:r w:rsidRPr="000E755E">
        <w:t>oho and sockeye salmon and addresses how impacts to these two species might be different from other salmonids</w:t>
      </w:r>
      <w:r>
        <w:t xml:space="preserve">. </w:t>
      </w:r>
      <w:r w:rsidRPr="000E755E">
        <w:t xml:space="preserve">An additional discussion about forest management activities on salmon stock and their habitat is included in the </w:t>
      </w:r>
      <w:r>
        <w:t>Forest Plan</w:t>
      </w:r>
      <w:r w:rsidRPr="000E755E">
        <w:t xml:space="preserve"> FEIS </w:t>
      </w:r>
      <w:r>
        <w:t>(</w:t>
      </w:r>
      <w:r w:rsidRPr="000E755E">
        <w:t>pp. 3-103 to 3-113</w:t>
      </w:r>
      <w:r>
        <w:t xml:space="preserve">). </w:t>
      </w:r>
      <w:r w:rsidRPr="000E755E">
        <w:t>These discussion</w:t>
      </w:r>
      <w:r>
        <w:t>s</w:t>
      </w:r>
      <w:r w:rsidRPr="000E755E">
        <w:t xml:space="preserve"> include important habitats for </w:t>
      </w:r>
      <w:r w:rsidR="0044318C" w:rsidRPr="000E755E">
        <w:t>Coho</w:t>
      </w:r>
      <w:r w:rsidRPr="000E755E">
        <w:t xml:space="preserve"> and sockeye salmon</w:t>
      </w:r>
      <w:r>
        <w:t xml:space="preserve">. </w:t>
      </w:r>
      <w:r w:rsidRPr="000E755E">
        <w:t xml:space="preserve"> </w:t>
      </w:r>
    </w:p>
    <w:p w14:paraId="2A3ADE63" w14:textId="57229438" w:rsidR="0085737B" w:rsidRPr="000E755E" w:rsidRDefault="0085737B" w:rsidP="0085737B">
      <w:pPr>
        <w:rPr>
          <w:color w:val="0070C0"/>
        </w:rPr>
      </w:pPr>
      <w:r w:rsidRPr="000E755E">
        <w:t xml:space="preserve">Protection measures that will benefit all salmon species including </w:t>
      </w:r>
      <w:r w:rsidR="0044318C" w:rsidRPr="000E755E">
        <w:t>Coho</w:t>
      </w:r>
      <w:r w:rsidRPr="000E755E">
        <w:t xml:space="preserve"> and sockeye are found in the </w:t>
      </w:r>
      <w:r>
        <w:t>Forest Plan</w:t>
      </w:r>
      <w:r w:rsidRPr="000E755E">
        <w:t xml:space="preserve"> Fish Standards and Guidelines pp. 4-9 to 4-14, Riparian Standards and Guidelines pp. 4-48 to 4-52, Riparian Management Area Standards and</w:t>
      </w:r>
      <w:r w:rsidR="00F65C48">
        <w:t xml:space="preserve"> Guidelines Appendix D, and POW</w:t>
      </w:r>
      <w:r w:rsidRPr="000E755E">
        <w:t>LLA Appendix A activity cards</w:t>
      </w:r>
      <w:r>
        <w:t xml:space="preserve">. </w:t>
      </w:r>
    </w:p>
    <w:p w14:paraId="2F72489E" w14:textId="4723B619" w:rsidR="0085737B" w:rsidRPr="00887C0B" w:rsidRDefault="0085737B" w:rsidP="0085737B">
      <w:pPr>
        <w:rPr>
          <w:rFonts w:eastAsia="Calibri"/>
        </w:rPr>
      </w:pPr>
      <w:r w:rsidRPr="003343E2">
        <w:rPr>
          <w:rFonts w:eastAsia="Calibri"/>
        </w:rPr>
        <w:t>Based on</w:t>
      </w:r>
      <w:r w:rsidR="00F65C48">
        <w:rPr>
          <w:rFonts w:eastAsia="Calibri"/>
        </w:rPr>
        <w:t xml:space="preserve"> my review of the POW</w:t>
      </w:r>
      <w:r w:rsidRPr="003343E2">
        <w:rPr>
          <w:rFonts w:eastAsia="Calibri"/>
        </w:rPr>
        <w:t>LLA draft ROD and as</w:t>
      </w:r>
      <w:r>
        <w:rPr>
          <w:rFonts w:eastAsia="Calibri"/>
        </w:rPr>
        <w:t xml:space="preserve">sociated analysis and documents, I find that they adequately discuss impacts and protective measures for all salmon species present within the project area. </w:t>
      </w:r>
    </w:p>
    <w:p w14:paraId="03670468" w14:textId="77777777" w:rsidR="0085737B" w:rsidRDefault="0085737B" w:rsidP="00874EF0">
      <w:pPr>
        <w:rPr>
          <w:b/>
        </w:rPr>
      </w:pPr>
    </w:p>
    <w:p w14:paraId="58C4BE1C" w14:textId="62E0B898" w:rsidR="00874EF0" w:rsidRDefault="00874EF0" w:rsidP="00874EF0">
      <w:r w:rsidRPr="00874EF0">
        <w:rPr>
          <w:b/>
        </w:rPr>
        <w:t>Issue:</w:t>
      </w:r>
      <w:r>
        <w:t xml:space="preserve"> </w:t>
      </w:r>
      <w:r>
        <w:tab/>
        <w:t>You allege that the FEIS violated NEPA by ignoring the effects of climate change on fish and that the analysis is inadequate because it fails to consider the cumulative effects of climate change on fish.</w:t>
      </w:r>
    </w:p>
    <w:p w14:paraId="317BE260" w14:textId="3E8F3B0F" w:rsidR="00874EF0" w:rsidRPr="00D225E0" w:rsidRDefault="00874EF0" w:rsidP="00F65C48">
      <w:r w:rsidRPr="00F65C48">
        <w:rPr>
          <w:b/>
        </w:rPr>
        <w:t>Response:</w:t>
      </w:r>
      <w:r w:rsidR="0085737B">
        <w:t xml:space="preserve"> </w:t>
      </w:r>
      <w:r w:rsidRPr="00F65C48">
        <w:t>Climate change impacts are discussed in the FEIS (pp. 62-65) identifying expected broad scale environmental changes, along with relative carbon emission and sequestration fluxes associated with various alternatives. Additionally, the Climate Change information in the FEIS tiers to more detailed climate change description and analysis in the Forest Plan FEIS (pp. 3-11 to 3-26).</w:t>
      </w:r>
      <w:r>
        <w:t xml:space="preserve">   </w:t>
      </w:r>
    </w:p>
    <w:p w14:paraId="6DBA34A6" w14:textId="17D98658" w:rsidR="00874EF0" w:rsidRPr="00874EF0" w:rsidRDefault="00874EF0" w:rsidP="001E0829">
      <w:r w:rsidRPr="00874EF0">
        <w:t xml:space="preserve">Analysis in the </w:t>
      </w:r>
      <w:r w:rsidRPr="00874EF0">
        <w:rPr>
          <w:bCs/>
        </w:rPr>
        <w:t>Forest Plan FEIS</w:t>
      </w:r>
      <w:r w:rsidRPr="00874EF0">
        <w:t xml:space="preserve"> </w:t>
      </w:r>
      <w:r w:rsidRPr="00874EF0">
        <w:rPr>
          <w:bCs/>
        </w:rPr>
        <w:t xml:space="preserve">(pp. 3-11 to 3-26) </w:t>
      </w:r>
      <w:r w:rsidRPr="00874EF0">
        <w:t>provides broad analysis on expected impacts to ecosystems in the Tongass including streams and hydrology and ultimately fish habitat and Forest Plan Standards and Guide</w:t>
      </w:r>
      <w:r w:rsidR="0085737B">
        <w:t>line</w:t>
      </w:r>
      <w:r w:rsidRPr="00874EF0">
        <w:t xml:space="preserve">s provide protections for fish and habitats during management activities. </w:t>
      </w:r>
    </w:p>
    <w:p w14:paraId="01551104" w14:textId="649D0C72" w:rsidR="00874EF0" w:rsidRDefault="00874EF0" w:rsidP="00F65C48">
      <w:pPr>
        <w:pStyle w:val="Heading2"/>
      </w:pPr>
      <w:r w:rsidRPr="00F65C48">
        <w:lastRenderedPageBreak/>
        <w:t xml:space="preserve">Recommendation:  </w:t>
      </w:r>
      <w:r w:rsidRPr="00F65C48">
        <w:rPr>
          <w:b w:val="0"/>
        </w:rPr>
        <w:t xml:space="preserve">The </w:t>
      </w:r>
      <w:r w:rsidR="003A3610" w:rsidRPr="00F65C48">
        <w:rPr>
          <w:b w:val="0"/>
        </w:rPr>
        <w:t xml:space="preserve">Responsible Official </w:t>
      </w:r>
      <w:r w:rsidRPr="00F65C48">
        <w:rPr>
          <w:b w:val="0"/>
        </w:rPr>
        <w:t xml:space="preserve">may </w:t>
      </w:r>
      <w:r w:rsidR="001E0829" w:rsidRPr="00F65C48">
        <w:rPr>
          <w:b w:val="0"/>
        </w:rPr>
        <w:t xml:space="preserve">choose to </w:t>
      </w:r>
      <w:r w:rsidRPr="00F65C48">
        <w:rPr>
          <w:b w:val="0"/>
        </w:rPr>
        <w:t>include an overview of expected impacts from climate change on hydrologic systems and fish habitats as to inform public and managers of expected challenges that may be encoun</w:t>
      </w:r>
      <w:r w:rsidR="0085737B" w:rsidRPr="00F65C48">
        <w:rPr>
          <w:b w:val="0"/>
        </w:rPr>
        <w:t>tered over the life of the POWLL</w:t>
      </w:r>
      <w:r w:rsidRPr="00F65C48">
        <w:rPr>
          <w:b w:val="0"/>
        </w:rPr>
        <w:t>A decision. This material will come from the Forest Plan FEIS and from the Climate Change Vulnerability Assessment for Aquatic Resources in the Tongass National Forest (EcoAdapt 2014).</w:t>
      </w:r>
    </w:p>
    <w:p w14:paraId="36C79799" w14:textId="77777777" w:rsidR="001E0829" w:rsidRDefault="001E0829" w:rsidP="00874EF0"/>
    <w:p w14:paraId="01CB14BF" w14:textId="088CFA24" w:rsidR="00874EF0" w:rsidRPr="000146A7" w:rsidRDefault="001E0829" w:rsidP="00874EF0">
      <w:r w:rsidRPr="001E0829">
        <w:rPr>
          <w:b/>
        </w:rPr>
        <w:t>Issue:</w:t>
      </w:r>
      <w:r>
        <w:t xml:space="preserve"> </w:t>
      </w:r>
      <w:r>
        <w:tab/>
        <w:t>You allege that t</w:t>
      </w:r>
      <w:r w:rsidR="00874EF0">
        <w:t xml:space="preserve">he FEIS fails to show that its proposed fish passage mitigation measures will be implemented, and if they are, how they will be effective. </w:t>
      </w:r>
      <w:r>
        <w:t xml:space="preserve">You further assert that </w:t>
      </w:r>
      <w:r w:rsidR="00874EF0">
        <w:t>language in the FEIS stating that red pipes “may” be replaced or that action alternatives “allow” for replacing culverts does not guarantee that mitigation activities will occur, and even if they do occur, the FEIS neglects to discuss the effectiveness of proposed mitigation measures.</w:t>
      </w:r>
    </w:p>
    <w:p w14:paraId="526CAAEF" w14:textId="11E90A16" w:rsidR="001E0829" w:rsidRPr="001E0829" w:rsidRDefault="001E0829" w:rsidP="001E0829">
      <w:pPr>
        <w:rPr>
          <w:rFonts w:eastAsia="Calibri"/>
        </w:rPr>
      </w:pPr>
      <w:r w:rsidRPr="001E0829">
        <w:rPr>
          <w:rFonts w:eastAsia="Calibri"/>
          <w:b/>
        </w:rPr>
        <w:t>Response:</w:t>
      </w:r>
      <w:r w:rsidRPr="001E0829">
        <w:rPr>
          <w:rFonts w:eastAsia="Calibri"/>
        </w:rPr>
        <w:t xml:space="preserve"> The red pipe remediation program is an important part of the Forest’s program of work and is part o</w:t>
      </w:r>
      <w:r w:rsidR="0085737B">
        <w:rPr>
          <w:rFonts w:eastAsia="Calibri"/>
        </w:rPr>
        <w:t xml:space="preserve">f all action alternatives (FEIS, </w:t>
      </w:r>
      <w:r w:rsidRPr="001E0829">
        <w:rPr>
          <w:rFonts w:eastAsia="Calibri"/>
        </w:rPr>
        <w:t xml:space="preserve">p. 27). The FEIS contains a thorough discussion and analysis of the need, effects, and implementation process for the red pipe remediation program which is common to all alternatives.   </w:t>
      </w:r>
    </w:p>
    <w:p w14:paraId="2DE67FB2" w14:textId="255D3256" w:rsidR="001E0829" w:rsidRPr="001E0829" w:rsidRDefault="001E0829" w:rsidP="001E0829">
      <w:r w:rsidRPr="001E0829">
        <w:t xml:space="preserve">Per the FEIS, all newly installed fish-stream crossing structures must meet fish </w:t>
      </w:r>
      <w:r w:rsidR="0085737B">
        <w:t>passage requirements (FEIS, p.</w:t>
      </w:r>
      <w:r w:rsidRPr="001E0829">
        <w:t xml:space="preserve"> 44). Additional</w:t>
      </w:r>
      <w:r w:rsidR="0085737B">
        <w:t xml:space="preserve"> information is available in</w:t>
      </w:r>
      <w:r w:rsidRPr="001E0829">
        <w:t xml:space="preserve"> Appendix A, Activity Cards (Card 25, Activity: Stream Crossing Structures). The analysis found that the proposed activities would not increase the number of red</w:t>
      </w:r>
      <w:r w:rsidR="002B094C">
        <w:t xml:space="preserve"> pipe</w:t>
      </w:r>
      <w:r w:rsidRPr="001E0829">
        <w:t xml:space="preserve"> crossings within the planning area. </w:t>
      </w:r>
    </w:p>
    <w:p w14:paraId="7EBDA694" w14:textId="27CE7966" w:rsidR="001E0829" w:rsidRPr="001E0829" w:rsidRDefault="001E0829" w:rsidP="001E0829">
      <w:r w:rsidRPr="001E0829">
        <w:t xml:space="preserve">For existing red </w:t>
      </w:r>
      <w:r w:rsidR="002B094C">
        <w:t xml:space="preserve">pipe </w:t>
      </w:r>
      <w:r w:rsidRPr="001E0829">
        <w:t xml:space="preserve">crossings within the project area and across the forest, replacement of the red </w:t>
      </w:r>
      <w:r w:rsidR="002B094C">
        <w:t xml:space="preserve">pipe </w:t>
      </w:r>
      <w:r w:rsidR="0085737B">
        <w:t xml:space="preserve">crossing is an ongoing and </w:t>
      </w:r>
      <w:r w:rsidRPr="001E0829">
        <w:t>important process and funding dependent. While obtaining a full inventory of all the red</w:t>
      </w:r>
      <w:r w:rsidR="002B094C">
        <w:t xml:space="preserve"> pipe</w:t>
      </w:r>
      <w:r w:rsidRPr="001E0829">
        <w:t xml:space="preserve"> crossings </w:t>
      </w:r>
      <w:r w:rsidR="0085737B">
        <w:t>is not within the scope of the proposed a</w:t>
      </w:r>
      <w:r w:rsidRPr="001E0829">
        <w:t>ction, red</w:t>
      </w:r>
      <w:r w:rsidR="002B094C">
        <w:t xml:space="preserve"> pipe</w:t>
      </w:r>
      <w:r w:rsidRPr="001E0829">
        <w:t xml:space="preserve"> crossing remediation can be continued under all POWLLA action alternatives. The remediation and prioritization of red </w:t>
      </w:r>
      <w:r w:rsidR="002B094C">
        <w:t xml:space="preserve">pipe </w:t>
      </w:r>
      <w:r w:rsidRPr="001E0829">
        <w:t>crossings are further discussed in Appendix A (Activity Card 26), and in the decision trees in Appendix B (</w:t>
      </w:r>
      <w:r w:rsidR="0085737B">
        <w:t xml:space="preserve">pp. </w:t>
      </w:r>
      <w:r w:rsidRPr="001E0829">
        <w:t>B-9 thr</w:t>
      </w:r>
      <w:r w:rsidR="002C3498">
        <w:t>o</w:t>
      </w:r>
      <w:r w:rsidRPr="001E0829">
        <w:t>u</w:t>
      </w:r>
      <w:r w:rsidR="002C3498">
        <w:t>gh</w:t>
      </w:r>
      <w:r w:rsidRPr="001E0829">
        <w:t xml:space="preserve"> B-14). The restoration efforts discussed in the FEIS work towards the adva</w:t>
      </w:r>
      <w:r w:rsidR="0085737B">
        <w:t>ncement of the F</w:t>
      </w:r>
      <w:r w:rsidRPr="001E0829">
        <w:t xml:space="preserve">orest’s red </w:t>
      </w:r>
      <w:r w:rsidR="002B094C">
        <w:t xml:space="preserve">pipe </w:t>
      </w:r>
      <w:r w:rsidRPr="001E0829">
        <w:t xml:space="preserve">crossing remediation efforts and the overall improvement of the watershed conditions. </w:t>
      </w:r>
    </w:p>
    <w:p w14:paraId="4CAC7094" w14:textId="3501B397" w:rsidR="001E0829" w:rsidRPr="001E0829" w:rsidRDefault="001E0829" w:rsidP="001E0829">
      <w:r w:rsidRPr="001E0829">
        <w:t>As the</w:t>
      </w:r>
      <w:r>
        <w:t xml:space="preserve"> </w:t>
      </w:r>
      <w:r w:rsidRPr="001E0829">
        <w:t xml:space="preserve">FEIS requires that all newly constructed crossings meet fish passage requirements, and harvesting activities could generate additional funding to advance restoration efforts of red </w:t>
      </w:r>
      <w:r w:rsidR="002B094C">
        <w:t xml:space="preserve">pipe </w:t>
      </w:r>
      <w:r w:rsidRPr="001E0829">
        <w:t>crossings created by past activities, I conclude the selected</w:t>
      </w:r>
      <w:r w:rsidR="0085737B">
        <w:t xml:space="preserve"> actions identified within the draft </w:t>
      </w:r>
      <w:r w:rsidRPr="001E0829">
        <w:t>ROD would have a positive effect on remediation efforts.</w:t>
      </w:r>
      <w:r w:rsidR="002C3498">
        <w:t xml:space="preserve"> </w:t>
      </w:r>
    </w:p>
    <w:p w14:paraId="5CC43283" w14:textId="77777777" w:rsidR="001E0829" w:rsidRDefault="001E0829" w:rsidP="00874EF0"/>
    <w:p w14:paraId="438452D6" w14:textId="5225BFAE" w:rsidR="0085737B" w:rsidRDefault="001E0829" w:rsidP="00874EF0">
      <w:r w:rsidRPr="001E0829">
        <w:rPr>
          <w:b/>
        </w:rPr>
        <w:t>Issue:</w:t>
      </w:r>
      <w:r>
        <w:t xml:space="preserve"> </w:t>
      </w:r>
      <w:r>
        <w:tab/>
      </w:r>
      <w:r w:rsidR="0085737B">
        <w:t>You allege</w:t>
      </w:r>
      <w:r w:rsidR="0085737B" w:rsidRPr="007F414B">
        <w:t xml:space="preserve"> that the DEIS and FEIS neglect to consider impacts to black bears</w:t>
      </w:r>
      <w:r w:rsidR="0085737B">
        <w:t>, that t</w:t>
      </w:r>
      <w:r w:rsidR="0085737B" w:rsidRPr="007F414B">
        <w:t xml:space="preserve">he Forest Service is acting in an arbitrary and unlawful manner with regard to the </w:t>
      </w:r>
      <w:r w:rsidR="00F65C48">
        <w:t>POW</w:t>
      </w:r>
      <w:r w:rsidR="0085737B">
        <w:t>LLA</w:t>
      </w:r>
      <w:r w:rsidR="0085737B" w:rsidRPr="007F414B">
        <w:t xml:space="preserve"> Project’s impacts to black bears and the FEIS fails to show how the Forest Service can meet </w:t>
      </w:r>
      <w:r w:rsidR="0085737B">
        <w:t>the National Forest Management Act’s (NFMA)</w:t>
      </w:r>
      <w:r w:rsidR="0085737B" w:rsidRPr="007F414B">
        <w:t xml:space="preserve"> viability requirements given risks to existing and unanalyzed</w:t>
      </w:r>
      <w:r w:rsidR="0085737B">
        <w:t xml:space="preserve"> black bear populations.</w:t>
      </w:r>
    </w:p>
    <w:p w14:paraId="136F183C" w14:textId="4F77A1CC" w:rsidR="00874EF0" w:rsidRPr="00FC6460" w:rsidRDefault="001E0829" w:rsidP="00874EF0">
      <w:r w:rsidRPr="001E0829">
        <w:rPr>
          <w:b/>
        </w:rPr>
        <w:t>Response:</w:t>
      </w:r>
      <w:r>
        <w:t xml:space="preserve"> </w:t>
      </w:r>
      <w:r w:rsidR="00874EF0" w:rsidRPr="00641650">
        <w:t xml:space="preserve">Species viability is determined at the Forest Plan level (36 CFR Sec. 219.19). </w:t>
      </w:r>
      <w:r w:rsidR="00874EF0">
        <w:t>T</w:t>
      </w:r>
      <w:r w:rsidR="00874EF0" w:rsidRPr="00FC6460">
        <w:t xml:space="preserve">he Forest Plan Amendment identifies the </w:t>
      </w:r>
      <w:r w:rsidR="0085737B">
        <w:t>requirement to use Forest Plan management indicator s</w:t>
      </w:r>
      <w:r w:rsidR="00874EF0" w:rsidRPr="00FC6460">
        <w:t>pecies</w:t>
      </w:r>
      <w:r w:rsidR="0085737B">
        <w:t xml:space="preserve"> (MIS)</w:t>
      </w:r>
      <w:r w:rsidR="00874EF0" w:rsidRPr="00FC6460">
        <w:t xml:space="preserve"> to evaluate the potential effects of proposed management activities affecting wildlife habitat (</w:t>
      </w:r>
      <w:r w:rsidR="0085737B">
        <w:t>Forest Plan</w:t>
      </w:r>
      <w:r w:rsidR="00874EF0" w:rsidRPr="00FC6460">
        <w:t xml:space="preserve">, p.4-85). Terrestrial MIS analyzed within the FEIS include black bear, marten, Sitka black-tailed deer, gray wolf (Alexander Archipelago wolf), and brown creeper. </w:t>
      </w:r>
      <w:r w:rsidR="00874EF0">
        <w:t xml:space="preserve">The </w:t>
      </w:r>
      <w:r w:rsidR="00874EF0" w:rsidRPr="00FC6460">
        <w:t xml:space="preserve">2014 Tongass National Forest Monitoring and Evaluation Report </w:t>
      </w:r>
      <w:r w:rsidR="00874EF0">
        <w:t>(pp. 1-10)</w:t>
      </w:r>
      <w:r w:rsidR="00874EF0" w:rsidRPr="00FC6460">
        <w:t xml:space="preserve"> documents that these MIS are known to occur within the project area and are primarily associated with the spruce and hemlock forests of Southeast Alaska that represent 98 percent of the productive old-grow</w:t>
      </w:r>
      <w:r w:rsidR="00874EF0">
        <w:t>th (POG) forests of the Tongass.</w:t>
      </w:r>
    </w:p>
    <w:p w14:paraId="28017DBB" w14:textId="77777777" w:rsidR="00874EF0" w:rsidRDefault="00874EF0" w:rsidP="00874EF0">
      <w:r w:rsidRPr="00FC6460">
        <w:t xml:space="preserve">Consistent with the MIS identification and monitoring expectations, utilizing monitoring data and other information from state, federal and public sources monitoring </w:t>
      </w:r>
      <w:r>
        <w:t>reports for MIS were developed. (</w:t>
      </w:r>
      <w:r w:rsidRPr="00FC6460">
        <w:t xml:space="preserve">2014 Tongass National Forest Monitoring and Evaluation Report) </w:t>
      </w:r>
    </w:p>
    <w:p w14:paraId="4913C9FE" w14:textId="77777777" w:rsidR="0085737B" w:rsidRDefault="0085737B" w:rsidP="0085737B">
      <w:r w:rsidRPr="00FC6460">
        <w:t>Proposed changes to the distribution and abundance of</w:t>
      </w:r>
      <w:r>
        <w:t xml:space="preserve"> productive old growth</w:t>
      </w:r>
      <w:r w:rsidRPr="00FC6460">
        <w:t xml:space="preserve">, </w:t>
      </w:r>
      <w:r>
        <w:t>high-volume productive old growth,</w:t>
      </w:r>
      <w:r w:rsidRPr="00FC6460">
        <w:t xml:space="preserve"> and </w:t>
      </w:r>
      <w:r>
        <w:t>size-density class 6/7</w:t>
      </w:r>
      <w:r w:rsidRPr="00FC6460">
        <w:t xml:space="preserve"> as well as non-winter, average and deep snow habitats are discussed throughout Chapter 3 in the FEIS and their potential effects on dependent MIS were analyzed (FEIS, pp. 3-170 through 3-237).</w:t>
      </w:r>
      <w:r>
        <w:t xml:space="preserve"> </w:t>
      </w:r>
    </w:p>
    <w:p w14:paraId="49868153" w14:textId="77777777" w:rsidR="00874EF0" w:rsidRPr="00FC6460" w:rsidRDefault="00874EF0" w:rsidP="00874EF0">
      <w:r>
        <w:t>NFMA requires forest plans to “provide for the diversity of plant and animal communities based on the suitability and capability of the specific land area.” This is achieved through implementation of the Conservation Strategy and Forest Plan direction.</w:t>
      </w:r>
    </w:p>
    <w:p w14:paraId="3DA86464" w14:textId="00201677" w:rsidR="0085737B" w:rsidRDefault="0085737B" w:rsidP="0085737B">
      <w:r>
        <w:t>Since black bears are</w:t>
      </w:r>
      <w:r w:rsidRPr="00FC6460">
        <w:t xml:space="preserve"> a MIS and a popular game species, monitoring</w:t>
      </w:r>
      <w:r>
        <w:t xml:space="preserve"> them</w:t>
      </w:r>
      <w:r w:rsidRPr="00FC6460">
        <w:t>, their population</w:t>
      </w:r>
      <w:r>
        <w:t>,</w:t>
      </w:r>
      <w:r w:rsidRPr="00FC6460">
        <w:t xml:space="preserve"> and habitat trends are a shared responsibility of the Forest Service and Alaska Department of Fish and Game</w:t>
      </w:r>
      <w:r>
        <w:t xml:space="preserve">. </w:t>
      </w:r>
      <w:r w:rsidRPr="00FC6460">
        <w:t>The analysis provided within the FEIS and supporting documents based on activities proposed within the POW</w:t>
      </w:r>
      <w:r>
        <w:t xml:space="preserve"> </w:t>
      </w:r>
      <w:r w:rsidRPr="00FC6460">
        <w:t>L</w:t>
      </w:r>
      <w:r>
        <w:t>L</w:t>
      </w:r>
      <w:r w:rsidRPr="00FC6460">
        <w:t xml:space="preserve">A demonstrates that a hard look was applied consistent with applicable rules. </w:t>
      </w:r>
    </w:p>
    <w:p w14:paraId="37C70D5F" w14:textId="59CA4F7F" w:rsidR="00874EF0" w:rsidRPr="00021026" w:rsidRDefault="00874EF0" w:rsidP="00874EF0">
      <w:r w:rsidRPr="00DD5BFE">
        <w:t xml:space="preserve">The analysis provided within the FEIS and supporting documents based on activities proposed demonstrates that a hard look was applied consistent with applicable rules. </w:t>
      </w:r>
      <w:r w:rsidR="0085737B">
        <w:t>However, this could be made clearer, through the instructions provided below.</w:t>
      </w:r>
    </w:p>
    <w:p w14:paraId="6BCE3B83" w14:textId="3C073FA8" w:rsidR="00C65D10" w:rsidRPr="00F65C48" w:rsidRDefault="00C65D10" w:rsidP="00C65D10">
      <w:pPr>
        <w:rPr>
          <w:rFonts w:eastAsia="Calibri"/>
        </w:rPr>
      </w:pPr>
      <w:r w:rsidRPr="00F65C48">
        <w:rPr>
          <w:b/>
        </w:rPr>
        <w:t xml:space="preserve">Instruction: </w:t>
      </w:r>
      <w:r w:rsidRPr="00F65C48">
        <w:t xml:space="preserve">In order to clarify that the FEIS and </w:t>
      </w:r>
      <w:r w:rsidR="00F65C48" w:rsidRPr="00F65C48">
        <w:t xml:space="preserve">draft </w:t>
      </w:r>
      <w:r w:rsidRPr="00F65C48">
        <w:t xml:space="preserve">ROD are consistent with the Forest Plan the </w:t>
      </w:r>
      <w:r w:rsidR="003A3610" w:rsidRPr="00F65C48">
        <w:t xml:space="preserve">Responsible Official </w:t>
      </w:r>
      <w:r w:rsidRPr="00F65C48">
        <w:t>s</w:t>
      </w:r>
      <w:r w:rsidR="0044318C" w:rsidRPr="00F65C48">
        <w:t>hall</w:t>
      </w:r>
      <w:r w:rsidRPr="00F65C48">
        <w:t xml:space="preserve"> </w:t>
      </w:r>
      <w:r w:rsidRPr="00F65C48">
        <w:rPr>
          <w:rFonts w:eastAsia="Calibri"/>
        </w:rPr>
        <w:t>provide conclusory statements for black bear, marten, Sitka black-tailed deer, gray wolf, and brown creeper as to how the proposed changes in habitats specific to each MIS would contribute to population trends for these species and what that contribution would be (</w:t>
      </w:r>
      <w:r w:rsidRPr="00F65C48">
        <w:rPr>
          <w:rFonts w:eastAsia="Calibri"/>
          <w:i/>
        </w:rPr>
        <w:t>e.g.</w:t>
      </w:r>
      <w:r w:rsidRPr="00F65C48">
        <w:rPr>
          <w:rFonts w:eastAsia="Calibri"/>
        </w:rPr>
        <w:t xml:space="preserve"> contribute to stable population, upward trend, downward trend) and concise rational supporting that conclusion. A summary table would also assist in providing rationale and clarity. </w:t>
      </w:r>
    </w:p>
    <w:p w14:paraId="69B33CE9" w14:textId="0D4C111B" w:rsidR="00874EF0" w:rsidRPr="000146A7" w:rsidRDefault="003A3610" w:rsidP="00F65C48">
      <w:pPr>
        <w:pStyle w:val="Heading2"/>
      </w:pPr>
      <w:r w:rsidRPr="00F65C48">
        <w:t xml:space="preserve">Recommendation: </w:t>
      </w:r>
      <w:r w:rsidR="00874EF0" w:rsidRPr="00F65C48">
        <w:t>If incidental damage to black bear dens becomes an area specific concern, protections/considerations for avoidance and protective buffers could be added to the Activity Cards.</w:t>
      </w:r>
    </w:p>
    <w:p w14:paraId="76C73A8E" w14:textId="77777777" w:rsidR="00C65D10" w:rsidRDefault="00C65D10" w:rsidP="00874EF0"/>
    <w:p w14:paraId="32AF9B94" w14:textId="41565248" w:rsidR="00874EF0" w:rsidRPr="00A20EED" w:rsidRDefault="00C65D10" w:rsidP="00874EF0">
      <w:r w:rsidRPr="00C65D10">
        <w:rPr>
          <w:b/>
        </w:rPr>
        <w:t>Issue:</w:t>
      </w:r>
      <w:r>
        <w:t xml:space="preserve"> </w:t>
      </w:r>
      <w:r>
        <w:tab/>
        <w:t xml:space="preserve">You allege </w:t>
      </w:r>
      <w:r w:rsidR="00874EF0">
        <w:t xml:space="preserve">that </w:t>
      </w:r>
      <w:r>
        <w:t>the FEIS is</w:t>
      </w:r>
      <w:r w:rsidR="00874EF0">
        <w:t xml:space="preserve"> inadequate with regard to (1) how it considers forest succession, (2) the limited value of silvicultural treatments, and (3) other issues related to recovering second growth forests and wildlife.</w:t>
      </w:r>
    </w:p>
    <w:p w14:paraId="4465E301" w14:textId="46837408" w:rsidR="008669E9" w:rsidRDefault="00C65D10" w:rsidP="008669E9">
      <w:r w:rsidRPr="00C65D10">
        <w:rPr>
          <w:b/>
        </w:rPr>
        <w:t>Response:</w:t>
      </w:r>
      <w:r w:rsidR="008669E9">
        <w:t xml:space="preserve"> The following responses summarize the FEIS purpose and need regarding proposed activities within the Timber Management land use designation (LUD). In point of fact, 1) the direct, indirect, and cumulative effects for treatments within young-growth forests are addresse</w:t>
      </w:r>
      <w:r w:rsidR="003A3610">
        <w:t xml:space="preserve">d in the FEIS (p. 218 through </w:t>
      </w:r>
      <w:r w:rsidR="008669E9">
        <w:t>p. 223), as well as other locations within the document where effects to resources are specifically addressed, 2) the transition strategy over the 15-year timeframe is to reduce managing old-growth and accelerate managing young-growth, so that after that period is up the vast majority of management would be in the young-growth forests while conserving existing old-growth forests to a greater degree (FEIS, pp. 4 through pp. 6), 3) the proposed treatments where activities are to take place within the Timber Management LUD are in compliance with the Forest Plan (Forest Plan, p. 5-2 through p. 5-5), 4) a no-action alternative was analyzed (FEIS, p. 2 through p. 3) and the affected environment discussions in each resource section address effects (FEIS, pp. 170 through 237), and 5) the Forest Service convened a panel of interdisciplinary resource team subject matter experts, collaborated with the Tongass Advisory Committee, consulted with other federal, state and tribal subject matter experts, and scoped for advocacy group and public comments, as well as provided a response to comments.</w:t>
      </w:r>
    </w:p>
    <w:p w14:paraId="13C280CC" w14:textId="77777777" w:rsidR="008669E9" w:rsidRDefault="008669E9" w:rsidP="008669E9">
      <w:r>
        <w:t>Regarding your conclusion that all alternatives over the long term will result in federal lands remaining in the stem exclusion stage: this assertion would not apply to the no-action alternative, or to lands in LUDs where timber management activities are prohibited or restricted. In all action alternatives and lands where proposed harvest activities would take place over the 15-year timeframe, the amount of acres remaining in the stem exclusion or converted to an early seral stage will vary by alternative, as disclosed in the FEIS, p. 2-23.</w:t>
      </w:r>
    </w:p>
    <w:p w14:paraId="27D3C703" w14:textId="77777777" w:rsidR="008669E9" w:rsidRDefault="008669E9" w:rsidP="008669E9">
      <w:pPr>
        <w:rPr>
          <w:rFonts w:eastAsia="Calibri"/>
        </w:rPr>
      </w:pPr>
      <w:r>
        <w:rPr>
          <w:rFonts w:eastAsia="Calibri"/>
        </w:rPr>
        <w:t xml:space="preserve">In order to transition from old-growth to young-growth management over the 15-year timeframe, intensive management within the young-growth Timber Management LUD is necessary to achieve the purpose and need for the project, a part of which is to produce an annual programmed timber output. </w:t>
      </w:r>
    </w:p>
    <w:p w14:paraId="02867AB6" w14:textId="77777777" w:rsidR="008669E9" w:rsidRDefault="008669E9" w:rsidP="008669E9">
      <w:pPr>
        <w:rPr>
          <w:rFonts w:eastAsia="Calibri"/>
        </w:rPr>
      </w:pPr>
      <w:r>
        <w:rPr>
          <w:rFonts w:eastAsia="Calibri"/>
        </w:rPr>
        <w:t xml:space="preserve">While you prefer that young-growth stands be managed to revert to old-growth conditions over time, this is not in keeping with the prime direction for Timber Management LUDs. Wildlife habitat protection and connectivity is considered in the overall Conservation Strategy, with which the Selected Alternative conforms. Other resource values have been considered and design features would be used to mitigate adverse effects.   </w:t>
      </w:r>
    </w:p>
    <w:p w14:paraId="1E1495F7" w14:textId="28DD1470" w:rsidR="00C65D10" w:rsidRDefault="00C65D10" w:rsidP="008669E9"/>
    <w:p w14:paraId="669E6063" w14:textId="68594E56" w:rsidR="00874EF0" w:rsidRDefault="00C65D10" w:rsidP="00874EF0">
      <w:r w:rsidRPr="00C65D10">
        <w:rPr>
          <w:b/>
        </w:rPr>
        <w:t>Issue:</w:t>
      </w:r>
      <w:r>
        <w:t xml:space="preserve"> </w:t>
      </w:r>
      <w:r>
        <w:tab/>
        <w:t>You assert that t</w:t>
      </w:r>
      <w:r w:rsidR="00874EF0">
        <w:t>he FEIS fails to address the need for forest succession to meet long-term wildlife viability needs</w:t>
      </w:r>
    </w:p>
    <w:p w14:paraId="488D2F18" w14:textId="30F986BB" w:rsidR="00C65D10" w:rsidRDefault="00C65D10" w:rsidP="00C65D10">
      <w:r w:rsidRPr="00C65D10">
        <w:rPr>
          <w:b/>
        </w:rPr>
        <w:t>Response:</w:t>
      </w:r>
      <w:r>
        <w:t xml:space="preserve"> As mentioned in the above response there is no assumption that the young-growth will provide old-growth habitat within timber LUDs.  </w:t>
      </w:r>
    </w:p>
    <w:p w14:paraId="464D67B2" w14:textId="77777777" w:rsidR="008669E9" w:rsidRDefault="008669E9" w:rsidP="008669E9">
      <w:r w:rsidRPr="00641650">
        <w:t xml:space="preserve">Species viability is determined at the Forest Plan level (36 CFR 219.19). </w:t>
      </w:r>
      <w:r>
        <w:t>Impacts to t</w:t>
      </w:r>
      <w:r w:rsidRPr="00FC6460">
        <w:t>errestrial MIS includ</w:t>
      </w:r>
      <w:r>
        <w:t>ing</w:t>
      </w:r>
      <w:r w:rsidRPr="00FC6460">
        <w:t xml:space="preserve"> black bear, marten, Sitka black-tailed deer, gray wolf (Alexander Archipelago wolf), and brown creeper</w:t>
      </w:r>
      <w:r>
        <w:t xml:space="preserve"> were </w:t>
      </w:r>
      <w:r w:rsidRPr="00FC6460">
        <w:t xml:space="preserve">analyzed within the FEIS. </w:t>
      </w:r>
    </w:p>
    <w:p w14:paraId="228FE54B" w14:textId="3224BD6B" w:rsidR="008669E9" w:rsidRDefault="008669E9" w:rsidP="008669E9">
      <w:r w:rsidRPr="00186B83">
        <w:t xml:space="preserve">The Forest Plan Legacy Standard and Guideline evolved from considerations presented at the Interagency Conservation Strategy Review workshop (USDA Forest Service 2007a) and replaced species-specific goshawk foraging and marten standards and guidelines. Implementation of the Legacy Standard and Guideline is intended to provide for the habitat needs of marten and goshawk. It applies to those Value Comparison Units that have had or are anticipated to have high levels of old-growth timber harvest with openings greater than 20 acres in size </w:t>
      </w:r>
      <w:r>
        <w:t>(FEIS</w:t>
      </w:r>
      <w:r w:rsidR="00F65C48">
        <w:t>,</w:t>
      </w:r>
      <w:r>
        <w:t xml:space="preserve"> p. 3-187).</w:t>
      </w:r>
      <w:r w:rsidRPr="00045F7B">
        <w:t xml:space="preserve"> </w:t>
      </w:r>
      <w:r>
        <w:t>With the implementation of the Forest Plan Legacy Standard, the viability of martin and goshawks will be maintained.</w:t>
      </w:r>
    </w:p>
    <w:p w14:paraId="055C289F" w14:textId="4B7DBF67" w:rsidR="008669E9" w:rsidRDefault="008669E9" w:rsidP="008669E9">
      <w:r>
        <w:t>The FEIS and Forest Plan assume that the young-growth would not provide future nesting habitat and that thinning treatments only provide limited, short-term habitat. Rather, the FEIS tiers to the Conservation Strategy and the Forest Plan Legacy Standard to ensure viability.</w:t>
      </w:r>
    </w:p>
    <w:p w14:paraId="3B8EFBFB" w14:textId="77777777" w:rsidR="008669E9" w:rsidRDefault="008669E9" w:rsidP="008669E9">
      <w:r w:rsidRPr="00735950">
        <w:t>The decision fully complies with the applicable rules and policy</w:t>
      </w:r>
      <w:r>
        <w:t>.</w:t>
      </w:r>
    </w:p>
    <w:p w14:paraId="7765AA11" w14:textId="77777777" w:rsidR="008669E9" w:rsidRPr="00735950" w:rsidRDefault="008669E9" w:rsidP="008669E9"/>
    <w:p w14:paraId="123A3EDF" w14:textId="77777777" w:rsidR="008669E9" w:rsidRPr="009D19E8" w:rsidRDefault="008669E9" w:rsidP="008669E9">
      <w:r w:rsidRPr="00C65D10">
        <w:rPr>
          <w:b/>
        </w:rPr>
        <w:t>Issue:</w:t>
      </w:r>
      <w:r>
        <w:t xml:space="preserve"> </w:t>
      </w:r>
      <w:r>
        <w:tab/>
        <w:t>You allege that the FEIS fails to address uncertainties surrounding the purported benefits of its second growth logging “restorative” treatments and that the silvicultural studies used reflect an historical focus on thinning treatments for tree growth and wood product quality rather than wildlife benefits.</w:t>
      </w:r>
    </w:p>
    <w:p w14:paraId="5F8AABAE" w14:textId="3F97872A" w:rsidR="008669E9" w:rsidRDefault="008669E9" w:rsidP="008669E9">
      <w:pPr>
        <w:rPr>
          <w:rFonts w:eastAsia="Calibri"/>
          <w:color w:val="000000" w:themeColor="text1"/>
        </w:rPr>
      </w:pPr>
      <w:r w:rsidRPr="00C65D10">
        <w:rPr>
          <w:rFonts w:eastAsia="Calibri"/>
          <w:b/>
        </w:rPr>
        <w:t>Response:</w:t>
      </w:r>
      <w:r>
        <w:rPr>
          <w:rFonts w:eastAsia="Calibri"/>
        </w:rPr>
        <w:t xml:space="preserve"> </w:t>
      </w:r>
      <w:r>
        <w:t xml:space="preserve">You are confusing treatments in young-growth units within beach and estuary fringe as primarily wildlife habitat improvement projects; rather, the primary goal is to achieve the timber output program goal of transitioning timber reliance on old-growth management and transitioning to young-growth management. </w:t>
      </w:r>
      <w:r>
        <w:rPr>
          <w:rFonts w:eastAsia="Calibri"/>
          <w:color w:val="000000" w:themeColor="text1"/>
        </w:rPr>
        <w:t>In order to meet the multiple objectives for transitioning to young-growth management, and achieving its planned timber program output goal over a 15-year transition timeframe, the Forest Service adapted (with revision) the Tongass Advisory Committee’s recommendation to treat a small fraction of lands within the beach and estuary fringe (Forest Plan, Appendix B, p. 11). The young-growth harvest within this fringe area is allowed only during the first 15 years following Plan approval. Collectively, this strategy, along with the proposed treatments, would reduce the potential old-growth acres that would have been treated over the planning horizon, thus maintaining a larger portion of existing old-growth forests. Additionally, it would more rapidly transition treated stands in the stem exclusion stage, to those that have multiple structural components that (over time) would be more characteristic of old-growth forest conditions, compared to current stem exclusion stage stands that follow a slower successional trajectory, thus potentially providing a secondary wildlife benefit (FEIS, pp. 218 through 223).</w:t>
      </w:r>
    </w:p>
    <w:p w14:paraId="65E914AA" w14:textId="48BE177A" w:rsidR="008669E9" w:rsidRDefault="008669E9" w:rsidP="008669E9">
      <w:pPr>
        <w:rPr>
          <w:rFonts w:eastAsia="Calibri"/>
        </w:rPr>
      </w:pPr>
      <w:r>
        <w:rPr>
          <w:rFonts w:eastAsia="Calibri"/>
        </w:rPr>
        <w:t>Active management in the beach and estuary fringe is authorized, so long as the treatments promote opportunities to accelerate (not restore, as you state) old-growth characteristics in young-growth stands. Following analysis, it was determined that the promotion and development of old-growth characteristics could be achieved through utilizing the Forest Plan standard of creating small clearcuts (</w:t>
      </w:r>
      <w:r w:rsidRPr="00CD5655">
        <w:rPr>
          <w:rFonts w:eastAsia="Calibri"/>
          <w:i/>
        </w:rPr>
        <w:t>i.e.</w:t>
      </w:r>
      <w:r>
        <w:rPr>
          <w:rFonts w:eastAsia="Calibri"/>
        </w:rPr>
        <w:t>, 35 percent of a stand in clearcuts no greater than 10 acres in size each), commercial thinning (</w:t>
      </w:r>
      <w:r w:rsidRPr="00CD5655">
        <w:rPr>
          <w:rFonts w:eastAsia="Calibri"/>
          <w:i/>
        </w:rPr>
        <w:t>i.e.</w:t>
      </w:r>
      <w:r>
        <w:rPr>
          <w:rFonts w:eastAsia="Calibri"/>
        </w:rPr>
        <w:t>, 33 percent of the stand’s basal area treated), or a combination of the two (</w:t>
      </w:r>
      <w:r w:rsidRPr="00CD5655">
        <w:rPr>
          <w:rFonts w:eastAsia="Calibri"/>
          <w:i/>
        </w:rPr>
        <w:t>i.e.</w:t>
      </w:r>
      <w:r>
        <w:rPr>
          <w:rFonts w:eastAsia="Calibri"/>
        </w:rPr>
        <w:t xml:space="preserve">, no greater than 35 percent of the total stand removed in basal area or acres (Forest Plan, p. 5-5 and 5-6)  </w:t>
      </w:r>
    </w:p>
    <w:p w14:paraId="39CAB186" w14:textId="11536E60" w:rsidR="008669E9" w:rsidRDefault="008669E9" w:rsidP="008669E9">
      <w:pPr>
        <w:rPr>
          <w:rFonts w:eastAsia="Calibri"/>
        </w:rPr>
      </w:pPr>
      <w:r>
        <w:rPr>
          <w:rFonts w:eastAsia="Calibri"/>
        </w:rPr>
        <w:t xml:space="preserve">The proposed treatments are intended to promote structural changes within a young-growth stand that is otherwise transitioning through the stem exclusion stage. These structural changes include a combination of stem exclusion, modified stem exclusion (commercial thinning) and early seral conditions (clearcuts). A thinning induces a more rapid increase in large tree diameter growth through reduced competition for site resources (Forest Plan, p. 5-2; DC-YG-02, 03, 04). Ultimately, the associated structural characteristics associated with old-growth forests is more rapidly achieved using multiple methods, as opposed to relying on the slower natural successional processes to achieve desired structural changes. </w:t>
      </w:r>
    </w:p>
    <w:p w14:paraId="30092D82" w14:textId="77777777" w:rsidR="008669E9" w:rsidRDefault="008669E9" w:rsidP="008669E9">
      <w:pPr>
        <w:rPr>
          <w:rFonts w:eastAsia="Calibri"/>
        </w:rPr>
      </w:pPr>
      <w:r>
        <w:rPr>
          <w:rFonts w:eastAsia="Calibri"/>
        </w:rPr>
        <w:t xml:space="preserve">Procedurally, analysis within the FEIS addresses the short-term benefits and long-term uncertainties and risks associated with its young-growth management strategy within the beach and estuary fringe. The project record supports this determination. </w:t>
      </w:r>
    </w:p>
    <w:p w14:paraId="6B23A72B" w14:textId="0C576F3F" w:rsidR="008669E9" w:rsidRDefault="008669E9" w:rsidP="008669E9">
      <w:pPr>
        <w:rPr>
          <w:rFonts w:eastAsia="Calibri"/>
        </w:rPr>
      </w:pPr>
      <w:r>
        <w:rPr>
          <w:rFonts w:eastAsia="Calibri"/>
        </w:rPr>
        <w:t>Managing a small fraction of the beach and estuary fringe is the first opportunity the Forest Service will have to monitor and assess the impacts to those specific areas, so that it may evaluate and refine its standards and practices over the long-term,</w:t>
      </w:r>
      <w:r w:rsidRPr="00054719">
        <w:rPr>
          <w:rFonts w:eastAsia="Calibri"/>
        </w:rPr>
        <w:t xml:space="preserve"> </w:t>
      </w:r>
      <w:r>
        <w:rPr>
          <w:rFonts w:eastAsia="Calibri"/>
        </w:rPr>
        <w:t>if needed. Contrary to your allegation, the Forest Service has used research and studies to evaluate and refine practices in past projects, which will continue in this project. Further, your allegation, in its conclusio</w:t>
      </w:r>
      <w:r w:rsidR="00F65C48">
        <w:rPr>
          <w:rFonts w:eastAsia="Calibri"/>
        </w:rPr>
        <w:t>n, that the POW</w:t>
      </w:r>
      <w:r>
        <w:rPr>
          <w:rFonts w:eastAsia="Calibri"/>
        </w:rPr>
        <w:t>LLA is “a plan to act first and study later,” is a mischaracterization of the project’s intent. Planning, implementing, monitoring, and adapting is the str</w:t>
      </w:r>
      <w:r w:rsidR="00F65C48">
        <w:rPr>
          <w:rFonts w:eastAsia="Calibri"/>
        </w:rPr>
        <w:t>ategy being employed in the POW</w:t>
      </w:r>
      <w:r>
        <w:rPr>
          <w:rFonts w:eastAsia="Calibri"/>
        </w:rPr>
        <w:t>LLA project.</w:t>
      </w:r>
    </w:p>
    <w:p w14:paraId="1A3B8FAF" w14:textId="715A771A" w:rsidR="00874EF0" w:rsidRPr="00F65C48" w:rsidRDefault="00DD5882" w:rsidP="00F65C48">
      <w:pPr>
        <w:pStyle w:val="Heading2"/>
      </w:pPr>
      <w:r w:rsidRPr="00F65C48">
        <w:t>Instructions</w:t>
      </w:r>
      <w:r w:rsidR="00874EF0" w:rsidRPr="00F65C48">
        <w:t>:</w:t>
      </w:r>
      <w:r w:rsidR="003A3610" w:rsidRPr="00F65C48">
        <w:t xml:space="preserve"> </w:t>
      </w:r>
      <w:r w:rsidR="00874EF0" w:rsidRPr="00F65C48">
        <w:t>The Objector alleges the Forest Service failed to explain the differences between the Forest Service’s view of likely impacts and the view of others in the scientific community. The Objector cites a few references. Documentation in the project record could not be found to explain or rebut this claim.</w:t>
      </w:r>
    </w:p>
    <w:p w14:paraId="000DEA60" w14:textId="477611FC" w:rsidR="00874EF0" w:rsidRDefault="00874EF0" w:rsidP="00DD5882">
      <w:r w:rsidRPr="00F65C48">
        <w:rPr>
          <w:rFonts w:eastAsia="Calibri"/>
        </w:rPr>
        <w:t>If documentation is available that discusses or rebuts the claim then it should be located and referenced. If it has not been discussed, the</w:t>
      </w:r>
      <w:r w:rsidR="00DD5882" w:rsidRPr="00F65C48">
        <w:rPr>
          <w:rFonts w:eastAsia="Calibri"/>
        </w:rPr>
        <w:t>n some discussion is warranted.</w:t>
      </w:r>
    </w:p>
    <w:p w14:paraId="24FCAE78" w14:textId="77777777" w:rsidR="00DD5882" w:rsidRDefault="00DD5882" w:rsidP="00874EF0"/>
    <w:p w14:paraId="6999AC5F" w14:textId="055E4786" w:rsidR="00874EF0" w:rsidRDefault="00DD5882" w:rsidP="00874EF0">
      <w:r w:rsidRPr="00DD5882">
        <w:rPr>
          <w:b/>
        </w:rPr>
        <w:t>Issue:</w:t>
      </w:r>
      <w:r>
        <w:t xml:space="preserve"> </w:t>
      </w:r>
      <w:r>
        <w:tab/>
        <w:t xml:space="preserve">You </w:t>
      </w:r>
      <w:r w:rsidR="00874EF0" w:rsidRPr="000146A7">
        <w:t xml:space="preserve">allege </w:t>
      </w:r>
      <w:r w:rsidR="00874EF0">
        <w:t>that the FEIS proposal to implement an unknown amount of logging in the beach fringe and other areas without analyzing the potential harms is contrary to the assumption of the Forest Plan that logging will “improve or maintain fish and wildlife habitat by accelerating old-growth characteristics.”</w:t>
      </w:r>
    </w:p>
    <w:p w14:paraId="7ACED566" w14:textId="77777777" w:rsidR="008669E9" w:rsidRDefault="00874EF0" w:rsidP="008669E9">
      <w:r w:rsidRPr="003200B8">
        <w:t>Response:</w:t>
      </w:r>
      <w:r w:rsidR="008669E9">
        <w:t xml:space="preserve"> The ability to commercially harvest timber (</w:t>
      </w:r>
      <w:r w:rsidR="008669E9" w:rsidRPr="00CD5655">
        <w:rPr>
          <w:i/>
        </w:rPr>
        <w:t>i.e.</w:t>
      </w:r>
      <w:r w:rsidR="008669E9">
        <w:t>, log) in the beach fringe is described in the above response.</w:t>
      </w:r>
    </w:p>
    <w:p w14:paraId="6BDD92CD" w14:textId="2327216A" w:rsidR="008669E9" w:rsidRDefault="008669E9" w:rsidP="008669E9">
      <w:r>
        <w:t>The “amount” of commercial timber harvest (i.e., logging) authorized over the 15-year implementation period is estimated in the Forest Plan at 3,500 acres (Forest Plan, p. 5-5). About 3,194 acres of beach fr</w:t>
      </w:r>
      <w:r w:rsidR="00F65C48">
        <w:t>inge were identified in the POW</w:t>
      </w:r>
      <w:r>
        <w:t xml:space="preserve">LLA for potential young-growth commercial timber harvest (or 0.7 percent of the project area beach fringe), of which about 1,118 acres (or 35 percent of the identified acres) may be physically treated over the 15-year period. This represents about 0.24 percent of the total beach fringe of 460,705 acres (FEIS, pp. 3-219 through 220).  </w:t>
      </w:r>
    </w:p>
    <w:p w14:paraId="4B9704B3" w14:textId="5EF51260" w:rsidR="00DD5882" w:rsidRPr="008669E9" w:rsidRDefault="00DD5882" w:rsidP="00F65C48">
      <w:pPr>
        <w:pStyle w:val="Heading2"/>
      </w:pPr>
      <w:r w:rsidRPr="008669E9">
        <w:t xml:space="preserve">NEPA requires that the agency should be able to demonstrate that it has taken a careful look at its actions and engaged in reasoned decision-making by using a </w:t>
      </w:r>
      <w:r w:rsidRPr="008669E9">
        <w:rPr>
          <w:color w:val="000000"/>
          <w:kern w:val="22"/>
        </w:rPr>
        <w:t xml:space="preserve">reasonable and reliable process to identify potential environmental effects, and, if adverse impacts are found, use that information to explore options to reduce those impacts while still achieving the project’s objectives. </w:t>
      </w:r>
      <w:r w:rsidRPr="008669E9">
        <w:t>The agency must also be able to explain clearly why the data it has collected and the methodologies it used were adequate to inform the public and the decision-maker of a project’s environmental effects.</w:t>
      </w:r>
    </w:p>
    <w:p w14:paraId="7B9C1759" w14:textId="745ADB9F" w:rsidR="00DD5882" w:rsidRPr="00DD5882" w:rsidRDefault="00DD5882" w:rsidP="00DD5882">
      <w:r w:rsidRPr="00DD5882">
        <w:rPr>
          <w:rFonts w:eastAsia="Calibri"/>
        </w:rPr>
        <w:t xml:space="preserve">Consistent with these requirements the </w:t>
      </w:r>
      <w:r>
        <w:rPr>
          <w:rFonts w:eastAsia="Calibri"/>
        </w:rPr>
        <w:t>FEIS</w:t>
      </w:r>
      <w:r w:rsidRPr="00DD5882">
        <w:t xml:space="preserve"> employs a condition-based management strategy, where implementation of specific actions (described in Activity Cards) varies according to clearly identified on-the-ground and site-specific conditions, which allows flexibility when new information or changed circumstances arising during implementation are discovered, while staying within the design parameters and legal sideboards of the decision’s implementation plan. This level of analysis meets the requirement of NEPA although the analysis is not acre-by-acre (nor is that required), all the potential actions have been identified and analyzed at the maximum level of implementation allowable within each alternative.</w:t>
      </w:r>
    </w:p>
    <w:p w14:paraId="6921EAB5" w14:textId="41F6F854" w:rsidR="008669E9" w:rsidRDefault="008669E9" w:rsidP="008669E9">
      <w:r>
        <w:t>An analysis and disclosure of potential environmental effects related to fish and wildlife habitat (including the black oystercatcher) in the young-growth beach and estuary fringe and other conservation areas is discus</w:t>
      </w:r>
      <w:r w:rsidR="00F65C48">
        <w:t>sed in the Tongass Forest Plan FEIS</w:t>
      </w:r>
      <w:r>
        <w:t xml:space="preserve"> </w:t>
      </w:r>
      <w:r w:rsidR="00F65C48">
        <w:t>(</w:t>
      </w:r>
      <w:r>
        <w:t>pp. 3-</w:t>
      </w:r>
      <w:r w:rsidR="00F65C48">
        <w:t>252 through 3-296), and the POW</w:t>
      </w:r>
      <w:r>
        <w:t xml:space="preserve">LLA FEIS </w:t>
      </w:r>
      <w:r w:rsidR="00F65C48">
        <w:t>(p</w:t>
      </w:r>
      <w:r>
        <w:t xml:space="preserve">p. 218 through p. 220). </w:t>
      </w:r>
    </w:p>
    <w:p w14:paraId="55361811" w14:textId="08894CE8" w:rsidR="008669E9" w:rsidRDefault="008669E9" w:rsidP="008669E9">
      <w:pPr>
        <w:rPr>
          <w:rStyle w:val="blue"/>
          <w:rFonts w:cstheme="minorHAnsi"/>
          <w:color w:val="000000" w:themeColor="text1"/>
        </w:rPr>
      </w:pPr>
      <w:r>
        <w:rPr>
          <w:rStyle w:val="blue"/>
          <w:rFonts w:cstheme="minorHAnsi"/>
          <w:color w:val="000000" w:themeColor="text1"/>
        </w:rPr>
        <w:t xml:space="preserve">The reasons and justification to commercially harvest timber within the beach estuary fringe and other conservation areas were made, and the environmental effects were analyzed within both the broad </w:t>
      </w:r>
      <w:r w:rsidR="00F65C48">
        <w:rPr>
          <w:rStyle w:val="blue"/>
          <w:rFonts w:cstheme="minorHAnsi"/>
          <w:color w:val="000000" w:themeColor="text1"/>
        </w:rPr>
        <w:t>Forest Plan</w:t>
      </w:r>
      <w:r>
        <w:rPr>
          <w:rStyle w:val="blue"/>
          <w:rFonts w:cstheme="minorHAnsi"/>
          <w:color w:val="000000" w:themeColor="text1"/>
        </w:rPr>
        <w:t xml:space="preserve"> a</w:t>
      </w:r>
      <w:r w:rsidR="00F65C48">
        <w:rPr>
          <w:rStyle w:val="blue"/>
          <w:rFonts w:cstheme="minorHAnsi"/>
          <w:color w:val="000000" w:themeColor="text1"/>
        </w:rPr>
        <w:t>s well as the project-level POW</w:t>
      </w:r>
      <w:r>
        <w:rPr>
          <w:rStyle w:val="blue"/>
          <w:rFonts w:cstheme="minorHAnsi"/>
          <w:color w:val="000000" w:themeColor="text1"/>
        </w:rPr>
        <w:t xml:space="preserve">LLA FEIS. The acres of potential impact have been disclosed in both analyses. </w:t>
      </w:r>
    </w:p>
    <w:p w14:paraId="174616C0" w14:textId="77777777" w:rsidR="008669E9" w:rsidRPr="004832DE" w:rsidRDefault="008669E9" w:rsidP="008669E9">
      <w:pPr>
        <w:rPr>
          <w:rStyle w:val="blue"/>
          <w:rFonts w:cstheme="minorHAnsi"/>
          <w:color w:val="000000" w:themeColor="text1"/>
        </w:rPr>
      </w:pPr>
      <w:r w:rsidRPr="004832DE">
        <w:rPr>
          <w:rStyle w:val="blue"/>
          <w:rFonts w:cstheme="minorHAnsi"/>
          <w:color w:val="000000" w:themeColor="text1"/>
        </w:rPr>
        <w:t xml:space="preserve">In summary, the </w:t>
      </w:r>
      <w:r>
        <w:rPr>
          <w:rStyle w:val="blue"/>
          <w:rFonts w:cstheme="minorHAnsi"/>
          <w:color w:val="000000" w:themeColor="text1"/>
        </w:rPr>
        <w:t xml:space="preserve">FEIS and </w:t>
      </w:r>
      <w:r w:rsidRPr="004832DE">
        <w:rPr>
          <w:rStyle w:val="blue"/>
          <w:rFonts w:cstheme="minorHAnsi"/>
          <w:color w:val="000000" w:themeColor="text1"/>
        </w:rPr>
        <w:t>draft decision fully compl</w:t>
      </w:r>
      <w:r>
        <w:rPr>
          <w:rStyle w:val="blue"/>
          <w:rFonts w:cstheme="minorHAnsi"/>
          <w:color w:val="000000" w:themeColor="text1"/>
        </w:rPr>
        <w:t>y</w:t>
      </w:r>
      <w:r w:rsidRPr="004832DE">
        <w:rPr>
          <w:rStyle w:val="blue"/>
          <w:rFonts w:cstheme="minorHAnsi"/>
          <w:color w:val="000000" w:themeColor="text1"/>
        </w:rPr>
        <w:t xml:space="preserve"> with the applicable rules. </w:t>
      </w:r>
    </w:p>
    <w:p w14:paraId="1C69DDC9" w14:textId="77777777" w:rsidR="00874EF0" w:rsidRDefault="00874EF0" w:rsidP="00874EF0"/>
    <w:p w14:paraId="318BAD01" w14:textId="1058F2A0" w:rsidR="00874EF0" w:rsidRPr="00121A3F" w:rsidRDefault="00DD5882" w:rsidP="00874EF0">
      <w:r w:rsidRPr="00DD5882">
        <w:rPr>
          <w:b/>
        </w:rPr>
        <w:t>Issue:</w:t>
      </w:r>
      <w:r>
        <w:tab/>
        <w:t>You allege</w:t>
      </w:r>
      <w:r w:rsidR="00874EF0" w:rsidRPr="00121A3F">
        <w:t xml:space="preserve"> that the true purpose and need is really to support Viking Lumber, with no assurance that the restoration goals will be met absent allocated funding. </w:t>
      </w:r>
      <w:r w:rsidR="00F502CD">
        <w:t>You further allege that</w:t>
      </w:r>
      <w:r w:rsidR="00874EF0" w:rsidRPr="00121A3F">
        <w:t xml:space="preserve"> the </w:t>
      </w:r>
      <w:r w:rsidR="00F502CD" w:rsidRPr="00121A3F">
        <w:t xml:space="preserve">purpose and need </w:t>
      </w:r>
      <w:r w:rsidR="00F502CD">
        <w:t xml:space="preserve">is </w:t>
      </w:r>
      <w:r w:rsidR="00874EF0" w:rsidRPr="00121A3F">
        <w:t xml:space="preserve">misleading </w:t>
      </w:r>
      <w:r w:rsidR="00874EF0">
        <w:t xml:space="preserve">and overly narrow </w:t>
      </w:r>
      <w:r w:rsidR="008669E9">
        <w:t>violating</w:t>
      </w:r>
      <w:r w:rsidR="00874EF0" w:rsidRPr="00121A3F">
        <w:t xml:space="preserve"> NEPA and APA.</w:t>
      </w:r>
    </w:p>
    <w:p w14:paraId="179EDE4F" w14:textId="38B114DA" w:rsidR="008669E9" w:rsidRDefault="00874EF0" w:rsidP="00F65C48">
      <w:r w:rsidRPr="008669E9">
        <w:rPr>
          <w:b/>
        </w:rPr>
        <w:t>Response:</w:t>
      </w:r>
      <w:r w:rsidR="008669E9">
        <w:t xml:space="preserve"> T</w:t>
      </w:r>
      <w:r w:rsidR="00F65C48">
        <w:t>he purpose and need for the POW</w:t>
      </w:r>
      <w:r w:rsidR="008669E9">
        <w:t>LLA</w:t>
      </w:r>
      <w:r w:rsidR="00F65C48">
        <w:t xml:space="preserve"> Project is consistent with the</w:t>
      </w:r>
      <w:r w:rsidR="008669E9">
        <w:t xml:space="preserve"> Forest Plan and rooted in the Forest Service’s obligation, subject to applicable law, to seek to provide a supply of timber from the Tongass National Forest that meets market demand annually and for the planning cycle, and to restore and improve forest resources to a condition where they provide increased benefits to society (Tongass Timber Reform Act, Section 101; FEIS, p. D49). </w:t>
      </w:r>
      <w:r w:rsidR="008669E9" w:rsidRPr="00A14B3C">
        <w:t xml:space="preserve">The </w:t>
      </w:r>
      <w:r w:rsidR="008669E9">
        <w:t xml:space="preserve">project’s purpose and need </w:t>
      </w:r>
      <w:r w:rsidR="008669E9" w:rsidRPr="00A14B3C">
        <w:t xml:space="preserve">was developed to </w:t>
      </w:r>
      <w:r w:rsidR="008669E9" w:rsidRPr="001F0EF8">
        <w:t>me</w:t>
      </w:r>
      <w:r w:rsidR="008669E9">
        <w:t xml:space="preserve">et multiple resource objectives </w:t>
      </w:r>
      <w:r w:rsidR="008669E9" w:rsidRPr="001F0EF8">
        <w:t>through an integrated approach</w:t>
      </w:r>
      <w:r w:rsidR="008669E9">
        <w:t xml:space="preserve">, </w:t>
      </w:r>
      <w:r w:rsidR="008669E9" w:rsidRPr="00A14B3C">
        <w:t>meet the Forest Plan goals and objectives</w:t>
      </w:r>
      <w:r w:rsidR="008669E9">
        <w:t>,</w:t>
      </w:r>
      <w:r w:rsidR="008669E9" w:rsidRPr="00A14B3C">
        <w:t xml:space="preserve"> as well as to address goals and objective</w:t>
      </w:r>
      <w:r w:rsidR="008669E9">
        <w:t>s</w:t>
      </w:r>
      <w:r w:rsidR="008669E9" w:rsidRPr="00A14B3C">
        <w:t xml:space="preserve"> of Prince of Wales Island communities</w:t>
      </w:r>
      <w:r w:rsidR="008669E9">
        <w:t xml:space="preserve"> (FEIS, p. 1). </w:t>
      </w:r>
      <w:r w:rsidR="008669E9" w:rsidRPr="00A14B3C">
        <w:t>The project</w:t>
      </w:r>
      <w:r w:rsidR="008669E9">
        <w:t xml:space="preserve">’s purpose and need (FEIS, p. 4), proposed action (FEIS, p. 6), and </w:t>
      </w:r>
      <w:r w:rsidR="008669E9" w:rsidRPr="00A14B3C">
        <w:t xml:space="preserve">alternatives </w:t>
      </w:r>
      <w:r w:rsidR="008669E9">
        <w:t xml:space="preserve">(FEIS, p. 19), were developed </w:t>
      </w:r>
      <w:r w:rsidR="008669E9" w:rsidRPr="00A14B3C">
        <w:t xml:space="preserve">through </w:t>
      </w:r>
      <w:r w:rsidR="008669E9">
        <w:t xml:space="preserve">extensive </w:t>
      </w:r>
      <w:r w:rsidR="008669E9" w:rsidRPr="00A14B3C">
        <w:t>public involvement</w:t>
      </w:r>
      <w:r w:rsidR="008669E9">
        <w:t xml:space="preserve"> and public comment (see Notice of Intent and corrected Notice of Intent on the project webpage). </w:t>
      </w:r>
      <w:r w:rsidR="008669E9" w:rsidRPr="00A14B3C">
        <w:t>The FEIS disclose</w:t>
      </w:r>
      <w:r w:rsidR="008669E9">
        <w:t>s</w:t>
      </w:r>
      <w:r w:rsidR="008669E9" w:rsidRPr="00A14B3C">
        <w:t xml:space="preserve"> the anticipated </w:t>
      </w:r>
      <w:r w:rsidR="008669E9">
        <w:t xml:space="preserve">socioeconomic </w:t>
      </w:r>
      <w:r w:rsidR="008669E9" w:rsidRPr="00A14B3C">
        <w:t>effects of each alternative</w:t>
      </w:r>
      <w:r w:rsidR="008669E9">
        <w:t xml:space="preserve"> (FEIS, p. 305)</w:t>
      </w:r>
      <w:r w:rsidR="008669E9" w:rsidRPr="00A14B3C">
        <w:t xml:space="preserve"> and the draft ROD </w:t>
      </w:r>
      <w:r w:rsidR="008669E9">
        <w:t xml:space="preserve">explains the </w:t>
      </w:r>
      <w:r w:rsidR="008669E9" w:rsidRPr="00A14B3C">
        <w:t>rationale for the draft decision and how it meets the purpose and need of the project</w:t>
      </w:r>
      <w:r w:rsidR="008669E9">
        <w:t xml:space="preserve"> (draft ROD, p. 5).</w:t>
      </w:r>
      <w:r w:rsidR="008669E9" w:rsidRPr="00F502CD">
        <w:t xml:space="preserve"> </w:t>
      </w:r>
    </w:p>
    <w:p w14:paraId="44C33F29" w14:textId="77777777" w:rsidR="008669E9" w:rsidRPr="009377F2" w:rsidRDefault="008669E9" w:rsidP="008669E9">
      <w:r>
        <w:t xml:space="preserve">The purpose and need was developed in accordance with the Council on Environmental Quality’s implementing instructions for NEPA found at 40 CFR 1500 through 1508. Courts review the Forest Service’s compliance with NEPA under the Administrative Procedure Act (APA). When reviewing agency actions, courts evaluate the reasoning offered by the government to support its decision. </w:t>
      </w:r>
    </w:p>
    <w:p w14:paraId="115AE628" w14:textId="2CBACE40" w:rsidR="008669E9" w:rsidRPr="00F502CD" w:rsidRDefault="008669E9" w:rsidP="008669E9">
      <w:r>
        <w:t xml:space="preserve">The allegation that there is no assurance of meeting the project’s restoration goals </w:t>
      </w:r>
      <w:r w:rsidRPr="00F502CD">
        <w:t xml:space="preserve">was responded to in </w:t>
      </w:r>
      <w:r>
        <w:t xml:space="preserve">the </w:t>
      </w:r>
      <w:r w:rsidRPr="00F502CD">
        <w:t>FEIS, Appendix D – Response to Comments p. D-28</w:t>
      </w:r>
      <w:r>
        <w:t xml:space="preserve">. </w:t>
      </w:r>
      <w:r w:rsidRPr="00F502CD">
        <w:t xml:space="preserve">The response states that fish habitat restoration and fish habitat improvement activities are addressed separately in the </w:t>
      </w:r>
      <w:r>
        <w:t xml:space="preserve">draft </w:t>
      </w:r>
      <w:r w:rsidRPr="00F502CD">
        <w:t>EIS and that Forest Plan direction prioritizes restoration over improvement (</w:t>
      </w:r>
      <w:r>
        <w:t>Forest Plan</w:t>
      </w:r>
      <w:r w:rsidRPr="00F502CD">
        <w:t>, p. 4-12 “Use the following priority for fish habitat project work: mitigation for unplanned impacts, rehabilitation/restoration, and enhancement”)</w:t>
      </w:r>
      <w:r>
        <w:t xml:space="preserve">. </w:t>
      </w:r>
    </w:p>
    <w:p w14:paraId="4EABAE12" w14:textId="0174C9BA" w:rsidR="00874EF0" w:rsidRDefault="00F502CD" w:rsidP="00874EF0">
      <w:r>
        <w:t xml:space="preserve">I found that </w:t>
      </w:r>
      <w:r w:rsidR="00874EF0">
        <w:t xml:space="preserve">the </w:t>
      </w:r>
      <w:r w:rsidR="00874EF0" w:rsidRPr="007C5010">
        <w:t>purpose and need includes a priority for economic support to the community of Prince of Wales Island where with a sustainable supply of timber, the timber industry may</w:t>
      </w:r>
      <w:r w:rsidR="00874EF0">
        <w:t xml:space="preserve"> improve the local economy by providing</w:t>
      </w:r>
      <w:r w:rsidR="00874EF0" w:rsidRPr="007C5010">
        <w:t xml:space="preserve"> job opportunities. </w:t>
      </w:r>
      <w:r w:rsidR="00874EF0">
        <w:t xml:space="preserve">The purpose and need and the proposed action was developed with significant input from the public.  </w:t>
      </w:r>
    </w:p>
    <w:p w14:paraId="17C492A4" w14:textId="44BDC035" w:rsidR="00874EF0" w:rsidRPr="005D50BF" w:rsidRDefault="00874EF0" w:rsidP="00F65C48">
      <w:r w:rsidRPr="00F65C48">
        <w:rPr>
          <w:b/>
        </w:rPr>
        <w:t>Recommendation:</w:t>
      </w:r>
      <w:r w:rsidR="003A3610" w:rsidRPr="00F65C48">
        <w:t xml:space="preserve"> </w:t>
      </w:r>
      <w:r w:rsidR="00F502CD" w:rsidRPr="00F65C48">
        <w:t>T</w:t>
      </w:r>
      <w:r w:rsidRPr="00F65C48">
        <w:t xml:space="preserve">he </w:t>
      </w:r>
      <w:r w:rsidR="003A3610" w:rsidRPr="00F65C48">
        <w:t xml:space="preserve">Responsible Official </w:t>
      </w:r>
      <w:r w:rsidRPr="00F65C48">
        <w:t xml:space="preserve">may add criteria </w:t>
      </w:r>
      <w:r w:rsidR="00F502CD" w:rsidRPr="00F65C48">
        <w:t xml:space="preserve">in the </w:t>
      </w:r>
      <w:r w:rsidR="00F65C48" w:rsidRPr="00F65C48">
        <w:t xml:space="preserve">draft </w:t>
      </w:r>
      <w:r w:rsidR="00F502CD" w:rsidRPr="00F65C48">
        <w:t xml:space="preserve">ROD </w:t>
      </w:r>
      <w:r w:rsidRPr="00F65C48">
        <w:t>to ensure alternate means of implementing restoration projects when funding is not assured.</w:t>
      </w:r>
      <w:r>
        <w:t xml:space="preserve">  </w:t>
      </w:r>
    </w:p>
    <w:p w14:paraId="518028F8" w14:textId="77777777" w:rsidR="00F502CD" w:rsidRDefault="00F502CD" w:rsidP="00874EF0"/>
    <w:p w14:paraId="7254268A" w14:textId="67EEDC23" w:rsidR="00874EF0" w:rsidRDefault="00F502CD" w:rsidP="00874EF0">
      <w:r w:rsidRPr="00F502CD">
        <w:rPr>
          <w:b/>
        </w:rPr>
        <w:t>Issue:</w:t>
      </w:r>
      <w:r>
        <w:tab/>
      </w:r>
      <w:r w:rsidR="00874EF0" w:rsidRPr="000146A7">
        <w:t xml:space="preserve">Objector </w:t>
      </w:r>
      <w:r w:rsidR="00874EF0">
        <w:t>notes that there is new information available regarding denning requirements of wolves on Prince of Wales Island that should be considered in the decision.</w:t>
      </w:r>
    </w:p>
    <w:p w14:paraId="3FAAEC80" w14:textId="77777777" w:rsidR="0044318C" w:rsidRDefault="00F502CD" w:rsidP="0044318C">
      <w:r w:rsidRPr="00F502CD">
        <w:rPr>
          <w:b/>
        </w:rPr>
        <w:t>Response:</w:t>
      </w:r>
      <w:r>
        <w:t xml:space="preserve"> </w:t>
      </w:r>
      <w:r w:rsidR="0044318C" w:rsidRPr="00F502CD">
        <w:rPr>
          <w:b/>
        </w:rPr>
        <w:t>Issue:</w:t>
      </w:r>
      <w:r w:rsidR="0044318C">
        <w:t xml:space="preserve"> You</w:t>
      </w:r>
      <w:r w:rsidR="0044318C" w:rsidRPr="000146A7">
        <w:t xml:space="preserve"> </w:t>
      </w:r>
      <w:r w:rsidR="0044318C">
        <w:t>note that there is new information available regarding denning requirements of wolves on Prince of Wales Island that should be considered in the decision.</w:t>
      </w:r>
    </w:p>
    <w:p w14:paraId="1B3FD1C1" w14:textId="77777777" w:rsidR="0044318C" w:rsidRPr="00B31AF6" w:rsidRDefault="0044318C" w:rsidP="0044318C">
      <w:r w:rsidRPr="00F502CD">
        <w:rPr>
          <w:b/>
        </w:rPr>
        <w:t>Response:</w:t>
      </w:r>
      <w:r>
        <w:t xml:space="preserve"> </w:t>
      </w:r>
      <w:r w:rsidRPr="00B31AF6">
        <w:t xml:space="preserve">Roffler &amp; Gregovich (2018) referenced in the objection was not available to the </w:t>
      </w:r>
      <w:r>
        <w:t>interdisciplinary team</w:t>
      </w:r>
      <w:r w:rsidRPr="00B31AF6">
        <w:t xml:space="preserve"> at the time of alternative development</w:t>
      </w:r>
      <w:r>
        <w:t xml:space="preserve">. </w:t>
      </w:r>
      <w:r w:rsidRPr="00B31AF6">
        <w:t>The Forest did however consider larger wolf den buffers in Alternatives 3 and 5 (FEIS, pp. 2-48 to 2-50). The buffers considered in these alternatives are very similar to the suggested buffer size for breeding wolves recommended in the 2018 Roffler paper (2</w:t>
      </w:r>
      <w:r>
        <w:t>,</w:t>
      </w:r>
      <w:r w:rsidRPr="00B31AF6">
        <w:t>400 vs. 2</w:t>
      </w:r>
      <w:r>
        <w:t>,</w:t>
      </w:r>
      <w:r w:rsidRPr="00B31AF6">
        <w:t>408 feet)</w:t>
      </w:r>
      <w:r>
        <w:t xml:space="preserve">. </w:t>
      </w:r>
    </w:p>
    <w:p w14:paraId="7A5E9820" w14:textId="77777777" w:rsidR="0044318C" w:rsidRPr="00B31AF6" w:rsidRDefault="0044318C" w:rsidP="0044318C">
      <w:r w:rsidRPr="00B31AF6">
        <w:t>The relationship of forest management to wolf populations is multidimensional as described in the FEIS (pp. 3-</w:t>
      </w:r>
      <w:r>
        <w:t>171 to</w:t>
      </w:r>
      <w:r w:rsidRPr="00B31AF6">
        <w:t xml:space="preserve"> 172, 3-223 to 3-236)</w:t>
      </w:r>
      <w:r>
        <w:t xml:space="preserve">. </w:t>
      </w:r>
      <w:r w:rsidRPr="00B31AF6">
        <w:t xml:space="preserve">Active and inactive den buffers are one of several variables that might affect </w:t>
      </w:r>
      <w:r>
        <w:t>Prince of Wales</w:t>
      </w:r>
      <w:r w:rsidRPr="00B31AF6">
        <w:t xml:space="preserve"> wolf populations</w:t>
      </w:r>
      <w:r>
        <w:t xml:space="preserve">. </w:t>
      </w:r>
      <w:r w:rsidRPr="00B31AF6">
        <w:t xml:space="preserve">The Tongass </w:t>
      </w:r>
      <w:r>
        <w:t>Forest Plan</w:t>
      </w:r>
      <w:r w:rsidRPr="00B31AF6">
        <w:t xml:space="preserve"> contains standards and guidelines specific to the Alexander Archipelago wolf which include den buffers (p. 4-91)</w:t>
      </w:r>
      <w:r>
        <w:t xml:space="preserve">. </w:t>
      </w:r>
      <w:r w:rsidRPr="00B31AF6">
        <w:t>Activity cards (Appendix 1, p</w:t>
      </w:r>
      <w:r>
        <w:t>p</w:t>
      </w:r>
      <w:r w:rsidRPr="00B31AF6">
        <w:t>. 1-13, 1-93, 1-98, 1-103, 1-106, 1-110, 1-166) identify conservation measures for wolves that will be carried forward through implementation.</w:t>
      </w:r>
    </w:p>
    <w:p w14:paraId="327ECE30" w14:textId="19FEFA9D" w:rsidR="00874EF0" w:rsidRPr="00B31AF6" w:rsidRDefault="0044318C" w:rsidP="0044318C">
      <w:pPr>
        <w:rPr>
          <w:rFonts w:eastAsia="Calibri"/>
        </w:rPr>
      </w:pPr>
      <w:r w:rsidRPr="00B31AF6">
        <w:t xml:space="preserve">Conservation of sustainable populations of the Alexander Archipelago wolf is a </w:t>
      </w:r>
      <w:r>
        <w:t>F</w:t>
      </w:r>
      <w:r w:rsidRPr="00B31AF6">
        <w:t>orest priority as indicated by the existing management standards and guidelines, including the requirement to “Implement a Forest-wide program, in cooperation with ADF&amp;G and USFWS, to assist in maintaining long-term sustainable wolf populations” (</w:t>
      </w:r>
      <w:r>
        <w:t>Forest Plan</w:t>
      </w:r>
      <w:r w:rsidRPr="00B31AF6">
        <w:t>, p. 4-91)</w:t>
      </w:r>
      <w:r>
        <w:t xml:space="preserve">. </w:t>
      </w:r>
      <w:r w:rsidRPr="00B31AF6">
        <w:t>Although recommendations from the Interagency W</w:t>
      </w:r>
      <w:r>
        <w:t xml:space="preserve">olf Habitat Management Program </w:t>
      </w:r>
      <w:r w:rsidRPr="00B31AF6">
        <w:t xml:space="preserve">were considered in several alternatives, only parts of those with reference to thinning of young growth were incorporated into Alternative 2. These recommendations, and any new relevant information such as the recent Roffler paper, will be available </w:t>
      </w:r>
      <w:r w:rsidR="00874EF0" w:rsidRPr="00B31AF6">
        <w:t>for consideration in the design and development process for future project specific activities</w:t>
      </w:r>
      <w:r w:rsidR="00874EF0" w:rsidRPr="00B31AF6">
        <w:rPr>
          <w:rFonts w:eastAsia="Calibri"/>
        </w:rPr>
        <w:t xml:space="preserve"> </w:t>
      </w:r>
    </w:p>
    <w:p w14:paraId="5CFE1CA0" w14:textId="161B3487" w:rsidR="00874EF0" w:rsidRPr="00B31AF6" w:rsidRDefault="00874EF0" w:rsidP="00874EF0">
      <w:r w:rsidRPr="00B31AF6">
        <w:t>A size range of den buffers were considered in the analysis of potential effects</w:t>
      </w:r>
      <w:r>
        <w:t xml:space="preserve"> and</w:t>
      </w:r>
      <w:r w:rsidRPr="00B31AF6">
        <w:t xml:space="preserve"> helped inform the decision.</w:t>
      </w:r>
      <w:r>
        <w:t xml:space="preserve"> T</w:t>
      </w:r>
      <w:r w:rsidRPr="00B31AF6">
        <w:t xml:space="preserve">he Roffler paper and the Interagency Wolf Habitat Management Program recommendations will be </w:t>
      </w:r>
      <w:r>
        <w:t xml:space="preserve">available for consideration for </w:t>
      </w:r>
      <w:r w:rsidR="00F65C48">
        <w:t xml:space="preserve">project implementation. </w:t>
      </w:r>
      <w:r w:rsidRPr="00B31AF6">
        <w:t xml:space="preserve">I conclude that this new information would not have resulted in the selection of a different alternative, and that new scientific information will be </w:t>
      </w:r>
      <w:r>
        <w:t>considere</w:t>
      </w:r>
      <w:r w:rsidRPr="00B31AF6">
        <w:t xml:space="preserve">d in the future to meet our Forest goal of working with ADF&amp;G and USFWS, to assist in maintaining long-term sustainable wolf populations.  </w:t>
      </w:r>
    </w:p>
    <w:p w14:paraId="57225664" w14:textId="5CA84750" w:rsidR="00874EF0" w:rsidRPr="00874EF0" w:rsidRDefault="00874EF0" w:rsidP="00874EF0">
      <w:pPr>
        <w:rPr>
          <w:b/>
        </w:rPr>
      </w:pPr>
      <w:r w:rsidRPr="00874EF0">
        <w:rPr>
          <w:b/>
        </w:rPr>
        <w:t>SUMM</w:t>
      </w:r>
      <w:r w:rsidR="004A02E6">
        <w:rPr>
          <w:b/>
        </w:rPr>
        <w:t>A</w:t>
      </w:r>
      <w:r w:rsidRPr="00874EF0">
        <w:rPr>
          <w:b/>
        </w:rPr>
        <w:t>RY:</w:t>
      </w:r>
    </w:p>
    <w:p w14:paraId="1467E298" w14:textId="6AEA6CB8" w:rsidR="00A0562F" w:rsidRPr="00874EF0" w:rsidRDefault="00A0562F" w:rsidP="00A0562F">
      <w:pPr>
        <w:rPr>
          <w:b/>
        </w:rPr>
      </w:pPr>
      <w:r w:rsidRPr="00874EF0">
        <w:t xml:space="preserve">I have reviewed your objections and note that your concerns have been addressed in the FEIS. </w:t>
      </w:r>
      <w:r>
        <w:t>D</w:t>
      </w:r>
      <w:r w:rsidRPr="00874EF0">
        <w:t xml:space="preserve">uring my review of the FEIS I noted </w:t>
      </w:r>
      <w:r>
        <w:t>some</w:t>
      </w:r>
      <w:r w:rsidR="00CC52FB">
        <w:t xml:space="preserve"> instructions and</w:t>
      </w:r>
      <w:r>
        <w:t xml:space="preserve"> recommendations </w:t>
      </w:r>
      <w:r w:rsidR="00CC52FB">
        <w:t xml:space="preserve">to the </w:t>
      </w:r>
      <w:r w:rsidR="003A3610">
        <w:t xml:space="preserve">Responsible Official </w:t>
      </w:r>
      <w:r w:rsidR="00CC52FB">
        <w:t>to</w:t>
      </w:r>
      <w:r w:rsidRPr="00874EF0">
        <w:t xml:space="preserve"> some of the above issues. </w:t>
      </w:r>
      <w:r>
        <w:t xml:space="preserve">The recommendations are optional items for the responsible officer to consider prior to signing the final decision and should not be confused with instructions which the </w:t>
      </w:r>
      <w:r w:rsidR="003A3610">
        <w:t xml:space="preserve">Responsible Official </w:t>
      </w:r>
      <w:r>
        <w:t xml:space="preserve">is required to complete prior to signing the final decision. </w:t>
      </w:r>
      <w:r w:rsidRPr="00874EF0">
        <w:t xml:space="preserve">My review constitutes the final administrative determination of the Department of agriculture: no further review from any other Forest Service or Department of Agriculture official of my written response to your objection is available (36 CFR 218.11(b)(2)). The </w:t>
      </w:r>
      <w:r w:rsidR="003A3610">
        <w:t xml:space="preserve">Responsible Official </w:t>
      </w:r>
      <w:r w:rsidRPr="00874EF0">
        <w:t xml:space="preserve">may sign the Record of Decision for this project once </w:t>
      </w:r>
      <w:r w:rsidR="00F65C48">
        <w:t xml:space="preserve">all </w:t>
      </w:r>
      <w:r w:rsidRPr="00874EF0">
        <w:t>instructions are completed.</w:t>
      </w:r>
      <w:r w:rsidRPr="00874EF0">
        <w:rPr>
          <w:b/>
        </w:rPr>
        <w:t xml:space="preserve"> </w:t>
      </w:r>
    </w:p>
    <w:p w14:paraId="0F4AC99A" w14:textId="77777777" w:rsidR="008648E4" w:rsidRDefault="008648E4" w:rsidP="008648E4"/>
    <w:p w14:paraId="1B2CF923" w14:textId="77777777" w:rsidR="00F35504" w:rsidRDefault="00F35504" w:rsidP="008648E4"/>
    <w:p w14:paraId="275E6266" w14:textId="3EC4BF46" w:rsidR="00F35504" w:rsidRDefault="00F35504" w:rsidP="008648E4"/>
    <w:sectPr w:rsidR="00F3550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AB03D" w14:textId="77777777" w:rsidR="00705C26" w:rsidRDefault="00705C26" w:rsidP="00381931">
      <w:pPr>
        <w:spacing w:after="0"/>
      </w:pPr>
      <w:r>
        <w:separator/>
      </w:r>
    </w:p>
  </w:endnote>
  <w:endnote w:type="continuationSeparator" w:id="0">
    <w:p w14:paraId="208763C7" w14:textId="77777777" w:rsidR="00705C26" w:rsidRDefault="00705C26"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91081"/>
      <w:docPartObj>
        <w:docPartGallery w:val="Page Numbers (Bottom of Page)"/>
        <w:docPartUnique/>
      </w:docPartObj>
    </w:sdtPr>
    <w:sdtEndPr>
      <w:rPr>
        <w:color w:val="7F7F7F" w:themeColor="background1" w:themeShade="7F"/>
        <w:spacing w:val="60"/>
      </w:rPr>
    </w:sdtEndPr>
    <w:sdtContent>
      <w:p w14:paraId="767D854E" w14:textId="0CC6D392" w:rsidR="00F35504" w:rsidRDefault="00F3550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05C26" w:rsidRPr="00705C26">
          <w:rPr>
            <w:b/>
            <w:bCs/>
            <w:noProof/>
          </w:rPr>
          <w:t>1</w:t>
        </w:r>
        <w:r>
          <w:rPr>
            <w:b/>
            <w:bCs/>
            <w:noProof/>
          </w:rPr>
          <w:fldChar w:fldCharType="end"/>
        </w:r>
        <w:r>
          <w:rPr>
            <w:b/>
            <w:bCs/>
          </w:rPr>
          <w:t xml:space="preserve"> | </w:t>
        </w:r>
        <w:r>
          <w:rPr>
            <w:color w:val="7F7F7F" w:themeColor="background1" w:themeShade="7F"/>
            <w:spacing w:val="60"/>
          </w:rPr>
          <w:t>Page</w:t>
        </w:r>
      </w:p>
    </w:sdtContent>
  </w:sdt>
  <w:p w14:paraId="4E804307" w14:textId="77777777" w:rsidR="00F35504" w:rsidRDefault="00F35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AEF00" w14:textId="77777777" w:rsidR="00705C26" w:rsidRDefault="00705C26" w:rsidP="00381931">
      <w:pPr>
        <w:spacing w:after="0"/>
      </w:pPr>
      <w:r>
        <w:separator/>
      </w:r>
    </w:p>
  </w:footnote>
  <w:footnote w:type="continuationSeparator" w:id="0">
    <w:p w14:paraId="5AA23505" w14:textId="77777777" w:rsidR="00705C26" w:rsidRDefault="00705C26"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2520" w14:textId="77777777" w:rsidR="00381931" w:rsidRDefault="00381931">
    <w:pPr>
      <w:pStyle w:val="Header"/>
    </w:pPr>
    <w:r>
      <w:t>Objection</w:t>
    </w:r>
    <w:r w:rsidR="00F20AF4">
      <w:t xml:space="preserve"> Response POWLLA # 19-10-00-0022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C0121"/>
    <w:multiLevelType w:val="hybridMultilevel"/>
    <w:tmpl w:val="F740D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C906842"/>
    <w:multiLevelType w:val="hybridMultilevel"/>
    <w:tmpl w:val="D1E860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6268EA"/>
    <w:multiLevelType w:val="hybridMultilevel"/>
    <w:tmpl w:val="4D5C3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21900"/>
    <w:rsid w:val="000A17D1"/>
    <w:rsid w:val="000A6127"/>
    <w:rsid w:val="000B47BA"/>
    <w:rsid w:val="000F6A0B"/>
    <w:rsid w:val="0011700E"/>
    <w:rsid w:val="00196417"/>
    <w:rsid w:val="001A35C6"/>
    <w:rsid w:val="001E0829"/>
    <w:rsid w:val="001E5D22"/>
    <w:rsid w:val="002245E0"/>
    <w:rsid w:val="00292FAA"/>
    <w:rsid w:val="002A7249"/>
    <w:rsid w:val="002B094C"/>
    <w:rsid w:val="002C3498"/>
    <w:rsid w:val="002E09CE"/>
    <w:rsid w:val="00381931"/>
    <w:rsid w:val="003A3610"/>
    <w:rsid w:val="003B6E49"/>
    <w:rsid w:val="00422AFF"/>
    <w:rsid w:val="0044318C"/>
    <w:rsid w:val="00470104"/>
    <w:rsid w:val="0047257E"/>
    <w:rsid w:val="004A02E6"/>
    <w:rsid w:val="004A2A92"/>
    <w:rsid w:val="004F2F3F"/>
    <w:rsid w:val="00511EA5"/>
    <w:rsid w:val="0054038C"/>
    <w:rsid w:val="00581677"/>
    <w:rsid w:val="005A66E7"/>
    <w:rsid w:val="005D6A6F"/>
    <w:rsid w:val="005F5894"/>
    <w:rsid w:val="006E41DD"/>
    <w:rsid w:val="00703120"/>
    <w:rsid w:val="00705C26"/>
    <w:rsid w:val="00750DCD"/>
    <w:rsid w:val="00772D24"/>
    <w:rsid w:val="00792100"/>
    <w:rsid w:val="007D6D6D"/>
    <w:rsid w:val="008127C0"/>
    <w:rsid w:val="0085737B"/>
    <w:rsid w:val="008648E4"/>
    <w:rsid w:val="008669E9"/>
    <w:rsid w:val="00874EF0"/>
    <w:rsid w:val="0089492E"/>
    <w:rsid w:val="008F5476"/>
    <w:rsid w:val="00916A43"/>
    <w:rsid w:val="00937765"/>
    <w:rsid w:val="00942940"/>
    <w:rsid w:val="00946130"/>
    <w:rsid w:val="00973DCC"/>
    <w:rsid w:val="00992B5F"/>
    <w:rsid w:val="009C5EE4"/>
    <w:rsid w:val="00A0562F"/>
    <w:rsid w:val="00A22F29"/>
    <w:rsid w:val="00A51C42"/>
    <w:rsid w:val="00A57F58"/>
    <w:rsid w:val="00A82C39"/>
    <w:rsid w:val="00AE01C0"/>
    <w:rsid w:val="00AE5ECA"/>
    <w:rsid w:val="00B03578"/>
    <w:rsid w:val="00B66B1E"/>
    <w:rsid w:val="00B74046"/>
    <w:rsid w:val="00B93C58"/>
    <w:rsid w:val="00B960E2"/>
    <w:rsid w:val="00C00428"/>
    <w:rsid w:val="00C03B38"/>
    <w:rsid w:val="00C225AE"/>
    <w:rsid w:val="00C35936"/>
    <w:rsid w:val="00C65D10"/>
    <w:rsid w:val="00C77412"/>
    <w:rsid w:val="00CA007D"/>
    <w:rsid w:val="00CC52FB"/>
    <w:rsid w:val="00CF4DA5"/>
    <w:rsid w:val="00D024E0"/>
    <w:rsid w:val="00D21B44"/>
    <w:rsid w:val="00D357C9"/>
    <w:rsid w:val="00D420C3"/>
    <w:rsid w:val="00D42439"/>
    <w:rsid w:val="00D86723"/>
    <w:rsid w:val="00D9145A"/>
    <w:rsid w:val="00DC3261"/>
    <w:rsid w:val="00DD5882"/>
    <w:rsid w:val="00DE1E9A"/>
    <w:rsid w:val="00E82AA5"/>
    <w:rsid w:val="00EC005D"/>
    <w:rsid w:val="00EC1C32"/>
    <w:rsid w:val="00F03116"/>
    <w:rsid w:val="00F2057C"/>
    <w:rsid w:val="00F20AF4"/>
    <w:rsid w:val="00F25B13"/>
    <w:rsid w:val="00F35504"/>
    <w:rsid w:val="00F502CD"/>
    <w:rsid w:val="00F56B55"/>
    <w:rsid w:val="00F65C48"/>
    <w:rsid w:val="00FB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84FE"/>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511EA5"/>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nhideWhenUsed/>
    <w:qFormat/>
    <w:rsid w:val="00F65C48"/>
    <w:pPr>
      <w:keepNext/>
      <w:keepLines/>
      <w:spacing w:before="120"/>
      <w:outlineLvl w:val="1"/>
    </w:pPr>
    <w:rPr>
      <w:rFonts w:asciiTheme="minorHAnsi" w:eastAsia="Calibri" w:hAnsiTheme="minorHAnsi" w:cstheme="minorHAnsi"/>
      <w:b/>
      <w:szCs w:val="26"/>
    </w:rPr>
  </w:style>
  <w:style w:type="paragraph" w:styleId="Heading3">
    <w:name w:val="heading 3"/>
    <w:basedOn w:val="Normal"/>
    <w:next w:val="Normal"/>
    <w:link w:val="Heading3Char"/>
    <w:uiPriority w:val="9"/>
    <w:semiHidden/>
    <w:unhideWhenUsed/>
    <w:qFormat/>
    <w:rsid w:val="003B6E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5C48"/>
    <w:rPr>
      <w:rFonts w:eastAsia="Calibri" w:cstheme="minorHAnsi"/>
      <w:b/>
      <w:szCs w:val="26"/>
    </w:rPr>
  </w:style>
  <w:style w:type="character" w:customStyle="1" w:styleId="Heading1Char">
    <w:name w:val="Heading 1 Char"/>
    <w:basedOn w:val="DefaultParagraphFont"/>
    <w:link w:val="Heading1"/>
    <w:uiPriority w:val="9"/>
    <w:rsid w:val="00511EA5"/>
    <w:rPr>
      <w:rFonts w:asciiTheme="majorHAnsi" w:eastAsiaTheme="majorEastAsia" w:hAnsiTheme="majorHAnsi" w:cstheme="majorBidi"/>
      <w:b/>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 w:type="character" w:customStyle="1" w:styleId="Heading3Char">
    <w:name w:val="Heading 3 Char"/>
    <w:basedOn w:val="DefaultParagraphFont"/>
    <w:link w:val="Heading3"/>
    <w:uiPriority w:val="9"/>
    <w:semiHidden/>
    <w:rsid w:val="003B6E4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nhideWhenUsed/>
    <w:rsid w:val="00F25B13"/>
    <w:rPr>
      <w:sz w:val="16"/>
      <w:szCs w:val="16"/>
    </w:rPr>
  </w:style>
  <w:style w:type="paragraph" w:styleId="CommentText">
    <w:name w:val="annotation text"/>
    <w:basedOn w:val="Normal"/>
    <w:link w:val="CommentTextChar"/>
    <w:unhideWhenUsed/>
    <w:rsid w:val="00F25B13"/>
    <w:rPr>
      <w:sz w:val="20"/>
      <w:szCs w:val="20"/>
    </w:rPr>
  </w:style>
  <w:style w:type="character" w:customStyle="1" w:styleId="CommentTextChar">
    <w:name w:val="Comment Text Char"/>
    <w:basedOn w:val="DefaultParagraphFont"/>
    <w:link w:val="CommentText"/>
    <w:rsid w:val="00F25B1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5B13"/>
    <w:rPr>
      <w:b/>
      <w:bCs/>
    </w:rPr>
  </w:style>
  <w:style w:type="character" w:customStyle="1" w:styleId="CommentSubjectChar">
    <w:name w:val="Comment Subject Char"/>
    <w:basedOn w:val="CommentTextChar"/>
    <w:link w:val="CommentSubject"/>
    <w:uiPriority w:val="99"/>
    <w:semiHidden/>
    <w:rsid w:val="00F25B13"/>
    <w:rPr>
      <w:rFonts w:ascii="Calibri" w:hAnsi="Calibri" w:cs="Calibri"/>
      <w:b/>
      <w:bCs/>
      <w:sz w:val="20"/>
      <w:szCs w:val="20"/>
    </w:rPr>
  </w:style>
  <w:style w:type="paragraph" w:styleId="BalloonText">
    <w:name w:val="Balloon Text"/>
    <w:basedOn w:val="Normal"/>
    <w:link w:val="BalloonTextChar"/>
    <w:uiPriority w:val="99"/>
    <w:semiHidden/>
    <w:unhideWhenUsed/>
    <w:rsid w:val="00F25B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4219</Words>
  <Characters>24050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2019-03-02T00:19:00Z</dcterms:created>
  <dcterms:modified xsi:type="dcterms:W3CDTF">2019-03-02T00:19:00Z</dcterms:modified>
</cp:coreProperties>
</file>