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FAFA9" w14:textId="77777777" w:rsidR="00541E75" w:rsidRPr="00BE6BEE" w:rsidRDefault="00541E75" w:rsidP="00541E75">
      <w:bookmarkStart w:id="0" w:name="_GoBack"/>
      <w:bookmarkEnd w:id="0"/>
      <w:r w:rsidRPr="00541E75">
        <w:rPr>
          <w:b/>
        </w:rPr>
        <w:t>Issue:</w:t>
      </w:r>
      <w:r>
        <w:t xml:space="preserve"> </w:t>
      </w:r>
      <w:r>
        <w:tab/>
        <w:t xml:space="preserve">You assert </w:t>
      </w:r>
      <w:r w:rsidRPr="00BE6BEE">
        <w:t>that the draft ROD, if implemented, will have significant negative impacts to the region’s important fish and wildlife habitat and to the local economy.</w:t>
      </w:r>
    </w:p>
    <w:p w14:paraId="67C3DB0F" w14:textId="1B4CAB47" w:rsidR="00261CB7" w:rsidRPr="00541E75" w:rsidRDefault="00261CB7" w:rsidP="00261CB7">
      <w:pPr>
        <w:pStyle w:val="Heading2"/>
        <w:spacing w:before="0" w:after="120"/>
        <w:rPr>
          <w:b w:val="0"/>
        </w:rPr>
      </w:pPr>
      <w:r w:rsidRPr="00603776">
        <w:t>Response:</w:t>
      </w:r>
      <w:r>
        <w:t xml:space="preserve"> </w:t>
      </w:r>
      <w:r w:rsidRPr="00541E75">
        <w:rPr>
          <w:b w:val="0"/>
        </w:rPr>
        <w:t>The standard</w:t>
      </w:r>
      <w:r>
        <w:rPr>
          <w:b w:val="0"/>
        </w:rPr>
        <w:t>s</w:t>
      </w:r>
      <w:r w:rsidRPr="00541E75">
        <w:rPr>
          <w:b w:val="0"/>
        </w:rPr>
        <w:t xml:space="preserve"> and guidelines developed and implemented in the Forest Plan are all carried forwar</w:t>
      </w:r>
      <w:r>
        <w:rPr>
          <w:b w:val="0"/>
        </w:rPr>
        <w:t>d through the POW</w:t>
      </w:r>
      <w:r w:rsidRPr="00541E75">
        <w:rPr>
          <w:b w:val="0"/>
        </w:rPr>
        <w:t>LLA process. These standards are designed to help protect aquatic as well as terrestrial wildlife species and the regional economic drivers that rely on these species and their habitat. These standards are described in the</w:t>
      </w:r>
      <w:r w:rsidRPr="00541E75">
        <w:rPr>
          <w:b w:val="0"/>
          <w:sz w:val="24"/>
          <w:szCs w:val="20"/>
        </w:rPr>
        <w:t xml:space="preserve"> </w:t>
      </w:r>
      <w:r w:rsidRPr="00541E75">
        <w:rPr>
          <w:b w:val="0"/>
        </w:rPr>
        <w:t xml:space="preserve">Fisheries and Hydrology sections </w:t>
      </w:r>
      <w:r>
        <w:rPr>
          <w:b w:val="0"/>
        </w:rPr>
        <w:t xml:space="preserve">of the </w:t>
      </w:r>
      <w:r w:rsidRPr="00541E75">
        <w:rPr>
          <w:b w:val="0"/>
        </w:rPr>
        <w:t>FEIS</w:t>
      </w:r>
      <w:r>
        <w:rPr>
          <w:b w:val="0"/>
        </w:rPr>
        <w:t xml:space="preserve"> and</w:t>
      </w:r>
      <w:r w:rsidRPr="00541E75">
        <w:rPr>
          <w:b w:val="0"/>
        </w:rPr>
        <w:t xml:space="preserve"> Appendix A, Activity Cards.</w:t>
      </w:r>
    </w:p>
    <w:p w14:paraId="5FB7CA01" w14:textId="77777777" w:rsidR="00261CB7" w:rsidRPr="005B4CE8" w:rsidRDefault="00261CB7" w:rsidP="00261CB7">
      <w:r w:rsidRPr="00541E75">
        <w:t>The FEIS discusses the fisheries resources, protection, and possible impacts in numerous places which include: pp. 25-26, 136,</w:t>
      </w:r>
      <w:r>
        <w:t>138-139,</w:t>
      </w:r>
      <w:r w:rsidRPr="00541E75">
        <w:t xml:space="preserve"> 145, </w:t>
      </w:r>
      <w:r>
        <w:t xml:space="preserve">and </w:t>
      </w:r>
      <w:r w:rsidRPr="00541E75">
        <w:t>140-166</w:t>
      </w:r>
      <w:r>
        <w:t xml:space="preserve">. </w:t>
      </w:r>
      <w:r w:rsidRPr="00541E75">
        <w:t xml:space="preserve">The </w:t>
      </w:r>
      <w:r>
        <w:t>Forest Plan</w:t>
      </w:r>
      <w:r w:rsidRPr="00541E75">
        <w:t xml:space="preserve"> FEIS includes an analysis of forest management on salmonid stocks on the Tongass on </w:t>
      </w:r>
      <w:r w:rsidRPr="00541E75">
        <w:rPr>
          <w:sz w:val="24"/>
        </w:rPr>
        <w:t xml:space="preserve">pp. </w:t>
      </w:r>
      <w:r w:rsidRPr="00541E75">
        <w:rPr>
          <w:sz w:val="24"/>
          <w:szCs w:val="20"/>
        </w:rPr>
        <w:t xml:space="preserve">3-103 to 3-108. </w:t>
      </w:r>
      <w:r w:rsidRPr="005B4CE8">
        <w:t xml:space="preserve">The analysis suggests that past activities have resulted in negative habitat impacts. Current standards and guidelines reduce initial and long-term impacts from management activities. Using salmon harvests as an index of stock abundance shows that negative trends have not been realized due to timber harvest activities on the Tongass.  </w:t>
      </w:r>
    </w:p>
    <w:p w14:paraId="28CD765C" w14:textId="77777777" w:rsidR="00261CB7" w:rsidRPr="00936984" w:rsidRDefault="00261CB7" w:rsidP="00261CB7">
      <w:r>
        <w:t>The analysis found the</w:t>
      </w:r>
      <w:r w:rsidRPr="00936984">
        <w:t xml:space="preserve"> application of </w:t>
      </w:r>
      <w:r>
        <w:t xml:space="preserve">current </w:t>
      </w:r>
      <w:r w:rsidRPr="00936984">
        <w:t xml:space="preserve">standards and guidelines and the </w:t>
      </w:r>
      <w:r>
        <w:t>effects from</w:t>
      </w:r>
      <w:r w:rsidRPr="00936984">
        <w:t xml:space="preserve"> past management activities have not led to downward trends in salmon stocks</w:t>
      </w:r>
      <w:r>
        <w:t>.</w:t>
      </w:r>
      <w:r w:rsidRPr="00936984">
        <w:t xml:space="preserve"> </w:t>
      </w:r>
      <w:r>
        <w:t xml:space="preserve">This </w:t>
      </w:r>
      <w:r w:rsidRPr="00936984">
        <w:t>lead</w:t>
      </w:r>
      <w:r>
        <w:t>s</w:t>
      </w:r>
      <w:r w:rsidRPr="00936984">
        <w:t xml:space="preserve"> me to conclude tha</w:t>
      </w:r>
      <w:r>
        <w:t>t</w:t>
      </w:r>
      <w:r w:rsidRPr="00936984">
        <w:t xml:space="preserve"> the proposed </w:t>
      </w:r>
      <w:r>
        <w:t>Project</w:t>
      </w:r>
      <w:r w:rsidRPr="00936984">
        <w:t xml:space="preserve"> will not impact the aquatic and riparian habitat in such a way that will result in negative impacts to the region’s fish and wildlife related economic drivers.</w:t>
      </w:r>
    </w:p>
    <w:p w14:paraId="430C12A3" w14:textId="77777777" w:rsidR="00541E75" w:rsidRDefault="00541E75" w:rsidP="008951CC">
      <w:pPr>
        <w:rPr>
          <w:b/>
        </w:rPr>
      </w:pPr>
    </w:p>
    <w:p w14:paraId="4133D03B" w14:textId="6EF50D4F" w:rsidR="0012759F" w:rsidRDefault="0012759F" w:rsidP="0012759F">
      <w:r w:rsidRPr="0012759F">
        <w:rPr>
          <w:b/>
        </w:rPr>
        <w:t>Issue:</w:t>
      </w:r>
      <w:r>
        <w:t xml:space="preserve"> </w:t>
      </w:r>
      <w:r>
        <w:tab/>
        <w:t>You allege</w:t>
      </w:r>
      <w:r w:rsidRPr="000146A7">
        <w:t xml:space="preserve"> </w:t>
      </w:r>
      <w:r>
        <w:t xml:space="preserve">that </w:t>
      </w:r>
      <w:r w:rsidRPr="00BF7876">
        <w:t>without unit cards or detailed information about where and how logging will occur, it is impossible for the public to be informed of the details of the project and there is no way for meaningful public participation. Because the FEIS and draft ROD fail to include sufficient detail for informe</w:t>
      </w:r>
      <w:r w:rsidR="00B111FE">
        <w:t xml:space="preserve">d public participation, </w:t>
      </w:r>
      <w:r w:rsidR="00261CB7">
        <w:t xml:space="preserve">you argue that </w:t>
      </w:r>
      <w:r w:rsidR="00B111FE">
        <w:t xml:space="preserve">the POWLLA </w:t>
      </w:r>
      <w:r w:rsidRPr="00BF7876">
        <w:t>is arbitrary and capricious in violation of the National Environmental Policy Act</w:t>
      </w:r>
      <w:r w:rsidRPr="00BF7876">
        <w:rPr>
          <w:spacing w:val="-18"/>
        </w:rPr>
        <w:t xml:space="preserve"> </w:t>
      </w:r>
      <w:r w:rsidRPr="00BF7876">
        <w:t>(NEPA).</w:t>
      </w:r>
      <w:r>
        <w:t xml:space="preserve"> </w:t>
      </w:r>
    </w:p>
    <w:p w14:paraId="7BC8392D" w14:textId="77777777" w:rsidR="004B4E3A" w:rsidRDefault="0012759F" w:rsidP="004B4E3A">
      <w:pPr>
        <w:pStyle w:val="Heading2"/>
        <w:spacing w:before="0" w:after="120"/>
        <w:rPr>
          <w:b w:val="0"/>
        </w:rPr>
      </w:pPr>
      <w:r w:rsidRPr="00603776">
        <w:t>Response:</w:t>
      </w:r>
      <w:r>
        <w:t xml:space="preserve"> </w:t>
      </w:r>
      <w:r w:rsidR="004B4E3A" w:rsidRPr="004B4E3A">
        <w:rPr>
          <w:b w:val="0"/>
        </w:rPr>
        <w:t xml:space="preserve">NEPA requires that the agency should be able to demonstrate that it has taken a careful look at its actions and engaged in reasoned decision-making by using a </w:t>
      </w:r>
      <w:r w:rsidR="004B4E3A" w:rsidRPr="004B4E3A">
        <w:rPr>
          <w:b w:val="0"/>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004B4E3A" w:rsidRPr="004B4E3A">
        <w:rPr>
          <w:b w:val="0"/>
        </w:rPr>
        <w:t>The agency must also be able to explain clearly why the data it has collected and the methodologies it used were adequate to inform the public and the decision-maker of a project’s environmental effects.</w:t>
      </w:r>
    </w:p>
    <w:p w14:paraId="4B467A12" w14:textId="5FD8547A" w:rsidR="004B4E3A" w:rsidRPr="004B4E3A" w:rsidRDefault="00261CB7" w:rsidP="004B4E3A">
      <w:r>
        <w:rPr>
          <w:rFonts w:eastAsia="Calibri"/>
        </w:rPr>
        <w:t>The POWLLA Project is c</w:t>
      </w:r>
      <w:r w:rsidRPr="004B4E3A">
        <w:rPr>
          <w:rFonts w:eastAsia="Calibri"/>
        </w:rPr>
        <w:t xml:space="preserve">onsistent with these requirements </w:t>
      </w:r>
      <w:r>
        <w:rPr>
          <w:rFonts w:eastAsia="Calibri"/>
        </w:rPr>
        <w:t>in that it</w:t>
      </w:r>
      <w:r w:rsidRPr="004B4E3A">
        <w:t xml:space="preserve"> employs a condition-based management strategy, where implementation of specific actions (described in Activity Cards) varies according to clearly identified on-the-ground and site-specific conditions</w:t>
      </w:r>
      <w:r>
        <w:t>.</w:t>
      </w:r>
      <w:r w:rsidRPr="004B4E3A">
        <w:t xml:space="preserve"> </w:t>
      </w:r>
      <w:r>
        <w:t>This</w:t>
      </w:r>
      <w:r w:rsidRPr="004B4E3A">
        <w:t xml:space="preserve"> allows </w:t>
      </w:r>
      <w:r w:rsidR="004B4E3A" w:rsidRPr="004B4E3A">
        <w:t>flexibility when new information or changed circumstances arising during implementation are discovered, while staying within the design parameters and legal sideboards of the decision’s implementation plan. This level of analysis meets the requirement of NEPA although the analysis is not acre-by-acre (nor is that required), all the potential actions have been identified and analyzed at the maximum level of implementation allowable within each alternative.</w:t>
      </w:r>
    </w:p>
    <w:p w14:paraId="69C5CECA" w14:textId="4C2B3D97" w:rsidR="0012759F" w:rsidRDefault="004B4E3A" w:rsidP="0012759F">
      <w:pPr>
        <w:rPr>
          <w:rFonts w:eastAsia="Calibri"/>
        </w:rPr>
      </w:pPr>
      <w:r>
        <w:rPr>
          <w:rFonts w:eastAsia="Calibri"/>
        </w:rPr>
        <w:t>The FEIS identifies that u</w:t>
      </w:r>
      <w:r w:rsidR="0012759F" w:rsidRPr="0012759F">
        <w:rPr>
          <w:rFonts w:eastAsia="Calibri"/>
        </w:rPr>
        <w:t xml:space="preserve">nit cards will be developed for any timber sales when specific harvest units and road locations are determined. The final road and activity cards, in combination with the Record of Decision and Implementation Plan, will be used throughout the implementation process to ensure that all aspects of the project are implemented within the scope of effects analyzed in the FEIS. Resource specialists would review and/or survey field locations before any activity would be implemented </w:t>
      </w:r>
      <w:r w:rsidR="00D77F0B">
        <w:rPr>
          <w:rFonts w:eastAsia="Calibri"/>
        </w:rPr>
        <w:t>(d</w:t>
      </w:r>
      <w:r>
        <w:rPr>
          <w:rFonts w:eastAsia="Calibri"/>
        </w:rPr>
        <w:t xml:space="preserve">raft ROD Appendix 1, p. 1-1) and </w:t>
      </w:r>
      <w:r w:rsidR="00261CB7">
        <w:rPr>
          <w:rFonts w:eastAsia="Calibri"/>
        </w:rPr>
        <w:t>unit c</w:t>
      </w:r>
      <w:r w:rsidR="0012759F" w:rsidRPr="0012759F">
        <w:rPr>
          <w:rFonts w:eastAsia="Calibri"/>
        </w:rPr>
        <w:t>ards would be made available for public review within the process outli</w:t>
      </w:r>
      <w:r>
        <w:rPr>
          <w:rFonts w:eastAsia="Calibri"/>
        </w:rPr>
        <w:t>ned in Appendix 2</w:t>
      </w:r>
      <w:r w:rsidR="0012759F" w:rsidRPr="0012759F">
        <w:rPr>
          <w:rFonts w:eastAsia="Calibri"/>
        </w:rPr>
        <w:t>.</w:t>
      </w:r>
    </w:p>
    <w:p w14:paraId="411DE818" w14:textId="77777777" w:rsidR="00261CB7" w:rsidRDefault="00261CB7" w:rsidP="00261CB7">
      <w:r w:rsidRPr="00B111FE">
        <w:lastRenderedPageBreak/>
        <w:t xml:space="preserve">I found that the Activity Cards, combined with the process for </w:t>
      </w:r>
      <w:r>
        <w:t xml:space="preserve">developing and </w:t>
      </w:r>
      <w:r w:rsidRPr="00B111FE">
        <w:t xml:space="preserve">making </w:t>
      </w:r>
      <w:r>
        <w:t>u</w:t>
      </w:r>
      <w:r w:rsidRPr="00B111FE">
        <w:t xml:space="preserve">nit </w:t>
      </w:r>
      <w:r>
        <w:t>c</w:t>
      </w:r>
      <w:r w:rsidRPr="00B111FE">
        <w:t xml:space="preserve">ards </w:t>
      </w:r>
      <w:r>
        <w:t xml:space="preserve">publically available, </w:t>
      </w:r>
      <w:r w:rsidRPr="00974B9D">
        <w:t xml:space="preserve">fully complies with NEPA requirements </w:t>
      </w:r>
      <w:r>
        <w:t>and provides sufficient information to inform the Responsible Official’s decision. However, in response to this objection I am directing the Responsible Official to further clarify his rationale for use and timing of activity and unit cards.</w:t>
      </w:r>
    </w:p>
    <w:p w14:paraId="335DBBFC" w14:textId="77777777" w:rsidR="00261CB7" w:rsidRPr="00D77F0B" w:rsidRDefault="00261CB7" w:rsidP="00261CB7">
      <w:pPr>
        <w:keepNext/>
        <w:keepLines/>
        <w:spacing w:before="120" w:after="0"/>
        <w:outlineLvl w:val="1"/>
        <w:rPr>
          <w:rFonts w:asciiTheme="minorHAnsi" w:eastAsia="Calibri" w:hAnsiTheme="minorHAnsi" w:cstheme="minorHAnsi"/>
          <w:b/>
          <w:szCs w:val="26"/>
        </w:rPr>
      </w:pPr>
      <w:r w:rsidRPr="00D77F0B">
        <w:rPr>
          <w:rFonts w:asciiTheme="minorHAnsi" w:eastAsia="Calibri" w:hAnsiTheme="minorHAnsi" w:cstheme="minorHAnsi"/>
          <w:b/>
          <w:szCs w:val="26"/>
        </w:rPr>
        <w:t xml:space="preserve">Instruction: </w:t>
      </w:r>
    </w:p>
    <w:p w14:paraId="2E016F2A" w14:textId="77777777" w:rsidR="00261CB7" w:rsidRDefault="00261CB7" w:rsidP="00261CB7">
      <w:pPr>
        <w:rPr>
          <w:b/>
        </w:rPr>
      </w:pPr>
      <w:r w:rsidRPr="00D77F0B">
        <w:t xml:space="preserve">The </w:t>
      </w:r>
      <w:r>
        <w:t>R</w:t>
      </w:r>
      <w:r w:rsidRPr="00D77F0B">
        <w:t xml:space="preserve">esponsible </w:t>
      </w:r>
      <w:r>
        <w:t>O</w:t>
      </w:r>
      <w:r w:rsidRPr="00D77F0B">
        <w:t xml:space="preserve">fficial will clearly explain the rationale of how developing and making public the activity cards and implementation plan best informed the public during this stage of the decision process and how developing unit cards, as specific harvest units and transportation routes are identified, is the most appropriate approach for this project, and meets the intent of the Forest Plan guideline. The </w:t>
      </w:r>
      <w:r>
        <w:t>R</w:t>
      </w:r>
      <w:r w:rsidRPr="00D77F0B">
        <w:t xml:space="preserve">esponsible </w:t>
      </w:r>
      <w:r>
        <w:t>O</w:t>
      </w:r>
      <w:r w:rsidRPr="00D77F0B">
        <w:t>fficial should also tie into this explanation how opportunities for public input to the proposed sales will be solicited and used and how the unit and transportation cards would be available and used for this process.</w:t>
      </w:r>
    </w:p>
    <w:p w14:paraId="4948E623" w14:textId="77777777" w:rsidR="00541E75" w:rsidRDefault="00541E75" w:rsidP="008951CC">
      <w:pPr>
        <w:rPr>
          <w:b/>
        </w:rPr>
      </w:pPr>
    </w:p>
    <w:p w14:paraId="0CB1B445" w14:textId="47488C3F" w:rsidR="00DE79F7" w:rsidRPr="000146A7" w:rsidRDefault="00DE79F7" w:rsidP="00DE79F7">
      <w:r w:rsidRPr="00DE79F7">
        <w:rPr>
          <w:b/>
        </w:rPr>
        <w:t>Issue:</w:t>
      </w:r>
      <w:r>
        <w:t xml:space="preserve"> </w:t>
      </w:r>
      <w:r>
        <w:tab/>
        <w:t>You assert</w:t>
      </w:r>
      <w:r w:rsidRPr="000146A7">
        <w:t xml:space="preserve"> </w:t>
      </w:r>
      <w:r>
        <w:t>that the Forest Service has provided no rationale or basis for its decision to disregard the To</w:t>
      </w:r>
      <w:r w:rsidR="00261CB7">
        <w:t xml:space="preserve">ngass Advisory Committees </w:t>
      </w:r>
      <w:r>
        <w:t>recommendation to plan young growth harvest in high-value fish watersheds such as Sweetwater Lake only after scientific review and adoption of more stringent standards or guidelines.</w:t>
      </w:r>
    </w:p>
    <w:p w14:paraId="185D6F98" w14:textId="77777777" w:rsidR="00DE79F7" w:rsidRPr="004D6BDC" w:rsidRDefault="00DE79F7" w:rsidP="00DE79F7">
      <w:pPr>
        <w:pStyle w:val="Heading2"/>
      </w:pPr>
      <w:r w:rsidRPr="004D6BDC">
        <w:t>Response:</w:t>
      </w:r>
    </w:p>
    <w:p w14:paraId="538EDA5B" w14:textId="773142B3" w:rsidR="00DE79F7" w:rsidRDefault="00D77F0B" w:rsidP="00DE79F7">
      <w:r>
        <w:t xml:space="preserve">The decision as to what </w:t>
      </w:r>
      <w:r w:rsidRPr="00C73A00">
        <w:t xml:space="preserve">Tongass Advisory Committee </w:t>
      </w:r>
      <w:r>
        <w:t xml:space="preserve">(TAC) </w:t>
      </w:r>
      <w:r w:rsidR="00DE79F7">
        <w:t>recommend</w:t>
      </w:r>
      <w:r>
        <w:t>ations are incorporate into the</w:t>
      </w:r>
      <w:r w:rsidR="00DE79F7">
        <w:t xml:space="preserve"> </w:t>
      </w:r>
      <w:r>
        <w:t xml:space="preserve">Forest Plan </w:t>
      </w:r>
      <w:r w:rsidR="00DE79F7">
        <w:t>can be found in that documents ROD. The</w:t>
      </w:r>
      <w:r w:rsidR="007A730E">
        <w:t xml:space="preserve"> </w:t>
      </w:r>
      <w:r w:rsidR="00DE79F7">
        <w:t xml:space="preserve">ROD (pp. 7-8) states: </w:t>
      </w:r>
    </w:p>
    <w:p w14:paraId="2A5BC17B" w14:textId="3370E6B3" w:rsidR="00DE79F7" w:rsidRPr="004D3FA5" w:rsidRDefault="00DE79F7" w:rsidP="00261CB7">
      <w:pPr>
        <w:ind w:left="720"/>
        <w:rPr>
          <w:b/>
          <w:iCs/>
        </w:rPr>
      </w:pPr>
      <w:r w:rsidRPr="004D3FA5">
        <w:t>Alternative 5 also incorporates TAC recommendations to protect certain watersheds known as the “Tongass 77” (T77), that have been identified by Trout Unlimited as high priority watersheds for protection due to their outstanding habitat values, fish production, and diversity of fish species present. In addition, the TAC recommended protection of “conservation priority areas” identified</w:t>
      </w:r>
      <w:r w:rsidR="00D77F0B">
        <w:t xml:space="preserve"> by The Nature Conservancy</w:t>
      </w:r>
      <w:r w:rsidRPr="004D3FA5">
        <w:t xml:space="preserve"> and Audubon Alaska (Albert and Schoen 2007). These watersheds and conservation areas are not a separate </w:t>
      </w:r>
      <w:r w:rsidR="00D77F0B">
        <w:t>Land Use Designation (</w:t>
      </w:r>
      <w:r w:rsidRPr="004D3FA5">
        <w:t>LUD</w:t>
      </w:r>
      <w:r w:rsidR="00D77F0B">
        <w:t>)</w:t>
      </w:r>
      <w:r w:rsidRPr="004D3FA5">
        <w:t xml:space="preserve"> under Alternative 5; they will be managed according to the direction applicable to the underlying LUD in which they are located. Old-growth harvest will not be allowed, however, and old-growth acres within these watersheds and conservation areas that are allocated to development LUDs are classified as unsuitable under Alternative 5. Young-growth timber harvest will be allowed in some of these watersheds and conservation areas.</w:t>
      </w:r>
    </w:p>
    <w:p w14:paraId="1D1A5F28" w14:textId="5A63B325" w:rsidR="00DE79F7" w:rsidRPr="00C73A00" w:rsidRDefault="00DE79F7" w:rsidP="00DE79F7">
      <w:r w:rsidRPr="00C73A00">
        <w:t xml:space="preserve">The Tongass Advisory Committee recommendations and advice informed the amending of the Forest Plan. In response to the TAC’s recommendations, the State of Alaska and USDA State and Private Forestry </w:t>
      </w:r>
      <w:r>
        <w:t>e</w:t>
      </w:r>
      <w:r w:rsidRPr="00C73A00">
        <w:t>ntered into a Challenge Cost Share Agreement that addresses the inventory of young growth. The information gained from the inventory, in combination with existing information on Tongass young-growth stands, will provide a rich data set from which sound estimates can be developed for use with young-growth project planning as t</w:t>
      </w:r>
      <w:r w:rsidR="00261CB7">
        <w:t>ransition implementation occurs</w:t>
      </w:r>
      <w:r w:rsidRPr="00C73A00">
        <w:t xml:space="preserve"> (</w:t>
      </w:r>
      <w:r w:rsidR="00D77F0B">
        <w:t>Forest Plan</w:t>
      </w:r>
      <w:r w:rsidRPr="00C73A00">
        <w:t xml:space="preserve"> ROD p. 34)</w:t>
      </w:r>
      <w:r w:rsidR="00261CB7">
        <w:t>.</w:t>
      </w:r>
    </w:p>
    <w:p w14:paraId="17C14259" w14:textId="33C2C94E" w:rsidR="00DE79F7" w:rsidRDefault="00DE79F7" w:rsidP="00DE79F7">
      <w:pPr>
        <w:rPr>
          <w:rFonts w:eastAsia="Calibri"/>
        </w:rPr>
      </w:pPr>
      <w:r w:rsidRPr="00915607">
        <w:rPr>
          <w:rFonts w:eastAsia="Calibri"/>
        </w:rPr>
        <w:t xml:space="preserve">I conclude that because the </w:t>
      </w:r>
      <w:r>
        <w:rPr>
          <w:rFonts w:eastAsia="Calibri"/>
        </w:rPr>
        <w:t>T</w:t>
      </w:r>
      <w:r w:rsidRPr="00915607">
        <w:rPr>
          <w:rFonts w:eastAsia="Calibri"/>
        </w:rPr>
        <w:t xml:space="preserve">AC recommendation concerning </w:t>
      </w:r>
      <w:r w:rsidRPr="00915607">
        <w:t xml:space="preserve">scientific review and additional standards and guides for young growth harvest in “high-value fish watersheds” </w:t>
      </w:r>
      <w:r w:rsidRPr="00915607">
        <w:rPr>
          <w:rFonts w:eastAsia="Calibri"/>
        </w:rPr>
        <w:t xml:space="preserve">was considered </w:t>
      </w:r>
      <w:r>
        <w:rPr>
          <w:rFonts w:eastAsia="Calibri"/>
        </w:rPr>
        <w:t xml:space="preserve">and discussed </w:t>
      </w:r>
      <w:r w:rsidR="00D77F0B">
        <w:rPr>
          <w:rFonts w:eastAsia="Calibri"/>
        </w:rPr>
        <w:t>in the development of the</w:t>
      </w:r>
      <w:r w:rsidRPr="00915607">
        <w:rPr>
          <w:rFonts w:eastAsia="Calibri"/>
        </w:rPr>
        <w:t xml:space="preserve"> </w:t>
      </w:r>
      <w:r w:rsidR="00D77F0B">
        <w:rPr>
          <w:rFonts w:eastAsia="Calibri"/>
        </w:rPr>
        <w:t>Forest Plan</w:t>
      </w:r>
      <w:r>
        <w:rPr>
          <w:rFonts w:eastAsia="Calibri"/>
        </w:rPr>
        <w:t xml:space="preserve"> and ROD</w:t>
      </w:r>
      <w:r w:rsidRPr="00915607">
        <w:rPr>
          <w:rFonts w:eastAsia="Calibri"/>
        </w:rPr>
        <w:t xml:space="preserve">, it is not </w:t>
      </w:r>
      <w:r w:rsidR="007A730E">
        <w:rPr>
          <w:rFonts w:eastAsia="Calibri"/>
        </w:rPr>
        <w:t>appropriate</w:t>
      </w:r>
      <w:r>
        <w:rPr>
          <w:rFonts w:eastAsia="Calibri"/>
        </w:rPr>
        <w:t xml:space="preserve"> to address it again in this process.</w:t>
      </w:r>
      <w:r w:rsidRPr="00915607">
        <w:rPr>
          <w:rFonts w:eastAsia="Calibri"/>
        </w:rPr>
        <w:t xml:space="preserve">  </w:t>
      </w:r>
    </w:p>
    <w:p w14:paraId="6C1B0860" w14:textId="77777777" w:rsidR="007A730E" w:rsidRDefault="007A730E" w:rsidP="007A730E">
      <w:pPr>
        <w:pStyle w:val="Heading1"/>
      </w:pPr>
    </w:p>
    <w:p w14:paraId="641D45FB" w14:textId="3DDC71AD" w:rsidR="00DE79F7" w:rsidRPr="00E06B98" w:rsidRDefault="007A730E" w:rsidP="007A730E">
      <w:pPr>
        <w:pStyle w:val="Heading1"/>
        <w:rPr>
          <w:rFonts w:ascii="Calibri" w:hAnsi="Calibri"/>
        </w:rPr>
      </w:pPr>
      <w:r w:rsidRPr="007A730E">
        <w:t>Issue:</w:t>
      </w:r>
      <w:r>
        <w:t xml:space="preserve"> </w:t>
      </w:r>
      <w:r>
        <w:tab/>
      </w:r>
      <w:r>
        <w:rPr>
          <w:b w:val="0"/>
        </w:rPr>
        <w:t>You assert</w:t>
      </w:r>
      <w:r w:rsidR="00DE79F7" w:rsidRPr="007A730E">
        <w:rPr>
          <w:b w:val="0"/>
        </w:rPr>
        <w:t xml:space="preserve"> that some of the projects and activities identified as restorative are not restorative, and should be evaluated and considered separately from activities design</w:t>
      </w:r>
      <w:r w:rsidR="00261CB7">
        <w:rPr>
          <w:b w:val="0"/>
        </w:rPr>
        <w:t>ed</w:t>
      </w:r>
      <w:r w:rsidR="00DE79F7" w:rsidRPr="007A730E">
        <w:rPr>
          <w:b w:val="0"/>
        </w:rPr>
        <w:t xml:space="preserve"> to return</w:t>
      </w:r>
      <w:r w:rsidR="00DE79F7" w:rsidRPr="007A730E">
        <w:rPr>
          <w:rFonts w:ascii="Calibri" w:hAnsi="Calibri"/>
          <w:b w:val="0"/>
        </w:rPr>
        <w:t xml:space="preserve"> fish and wildlife habitat to its natural condition. </w:t>
      </w:r>
      <w:r>
        <w:rPr>
          <w:rFonts w:ascii="Calibri" w:hAnsi="Calibri"/>
          <w:b w:val="0"/>
        </w:rPr>
        <w:t>You are</w:t>
      </w:r>
      <w:r w:rsidR="00DE79F7" w:rsidRPr="007A730E">
        <w:rPr>
          <w:rFonts w:ascii="Calibri" w:hAnsi="Calibri"/>
          <w:b w:val="0"/>
        </w:rPr>
        <w:t xml:space="preserve"> concerned about the impacts of non-restorative activities (enhancement projects), and believe the F</w:t>
      </w:r>
      <w:r>
        <w:rPr>
          <w:rFonts w:ascii="Calibri" w:hAnsi="Calibri"/>
          <w:b w:val="0"/>
        </w:rPr>
        <w:t xml:space="preserve">orest </w:t>
      </w:r>
      <w:r w:rsidR="00DE79F7" w:rsidRPr="007A730E">
        <w:rPr>
          <w:rFonts w:ascii="Calibri" w:hAnsi="Calibri"/>
          <w:b w:val="0"/>
        </w:rPr>
        <w:t>S</w:t>
      </w:r>
      <w:r>
        <w:rPr>
          <w:rFonts w:ascii="Calibri" w:hAnsi="Calibri"/>
          <w:b w:val="0"/>
        </w:rPr>
        <w:t>ervice</w:t>
      </w:r>
      <w:r w:rsidR="00DE79F7" w:rsidRPr="007A730E">
        <w:rPr>
          <w:rFonts w:ascii="Calibri" w:hAnsi="Calibri"/>
          <w:b w:val="0"/>
        </w:rPr>
        <w:t xml:space="preserve"> should focus on restoration within the Staney, Shaheen, Ratz, Flicker/Buster, Hatchery and 108 watersheds.</w:t>
      </w:r>
    </w:p>
    <w:p w14:paraId="521298CE" w14:textId="52B1722D" w:rsidR="00DE79F7" w:rsidRPr="00E06B98" w:rsidRDefault="007A730E" w:rsidP="00DE79F7">
      <w:r w:rsidRPr="007A730E">
        <w:rPr>
          <w:b/>
        </w:rPr>
        <w:t>Response:</w:t>
      </w:r>
      <w:r>
        <w:t xml:space="preserve"> </w:t>
      </w:r>
      <w:r w:rsidR="00DE79F7" w:rsidRPr="00E06B98">
        <w:t>This concern was responded to in FEIS, Appendix D – Res</w:t>
      </w:r>
      <w:r w:rsidR="00DE79F7">
        <w:t>ponse to Comments p. D-28.  The</w:t>
      </w:r>
      <w:r w:rsidR="00DE79F7" w:rsidRPr="00E06B98">
        <w:t xml:space="preserve"> response states that fish habitat restoration and fish habitat improvement activities a</w:t>
      </w:r>
      <w:r w:rsidR="00D77F0B">
        <w:t xml:space="preserve">re addressed separately in the draft </w:t>
      </w:r>
      <w:r w:rsidR="00DE79F7" w:rsidRPr="00E06B98">
        <w:t>EIS and that Forest Plan direction prioritizes restoration over improvement (</w:t>
      </w:r>
      <w:r w:rsidR="00D77F0B">
        <w:t>Forest Plan</w:t>
      </w:r>
      <w:r w:rsidR="00DE79F7" w:rsidRPr="00E06B98">
        <w:t xml:space="preserve">, p. 4-12 “Use the following priority for fish habitat project work: mitigation for unplanned impacts, rehabilitation/restoration, and enhancement”).  </w:t>
      </w:r>
    </w:p>
    <w:p w14:paraId="0CE46F19" w14:textId="1343F565" w:rsidR="00DE79F7" w:rsidRPr="008C32C8" w:rsidRDefault="00DE79F7" w:rsidP="00DE79F7">
      <w:r w:rsidRPr="00E06B98">
        <w:t xml:space="preserve">I </w:t>
      </w:r>
      <w:r w:rsidR="007A730E">
        <w:t>agree</w:t>
      </w:r>
      <w:r w:rsidRPr="00E06B98">
        <w:t xml:space="preserve"> with </w:t>
      </w:r>
      <w:r w:rsidR="00261CB7">
        <w:t>you</w:t>
      </w:r>
      <w:r w:rsidRPr="00E06B98">
        <w:t xml:space="preserve"> on the premise of prioritizing restoration work over habitat enhancement work</w:t>
      </w:r>
      <w:r w:rsidR="00261CB7">
        <w:t>.</w:t>
      </w:r>
      <w:r w:rsidRPr="00E06B98">
        <w:t xml:space="preserve"> </w:t>
      </w:r>
      <w:r w:rsidR="007A730E">
        <w:t>I</w:t>
      </w:r>
      <w:r w:rsidRPr="00E06B98">
        <w:t xml:space="preserve"> also agree that enhancement projects should be critically looked at prior to</w:t>
      </w:r>
      <w:r w:rsidR="00261CB7">
        <w:t xml:space="preserve"> the decision to initiate design. </w:t>
      </w:r>
      <w:r w:rsidRPr="00E06B98">
        <w:t xml:space="preserve">This commitment to critical decision making is expressed in the </w:t>
      </w:r>
      <w:r w:rsidR="00D77F0B">
        <w:t>Forest Plan</w:t>
      </w:r>
      <w:r w:rsidRPr="00E06B98">
        <w:t>, Fish Standards and Guidelines, pp. 4-9 to 4-14.</w:t>
      </w:r>
    </w:p>
    <w:p w14:paraId="3286C123" w14:textId="77777777" w:rsidR="007A730E" w:rsidRDefault="007A730E" w:rsidP="00DE79F7"/>
    <w:p w14:paraId="76AC3840" w14:textId="40518530" w:rsidR="00DE79F7" w:rsidRDefault="007A730E" w:rsidP="00DE79F7">
      <w:r w:rsidRPr="007A730E">
        <w:rPr>
          <w:b/>
        </w:rPr>
        <w:t>Issue:</w:t>
      </w:r>
      <w:r>
        <w:tab/>
        <w:t>You assert</w:t>
      </w:r>
      <w:r w:rsidR="00DE79F7">
        <w:t xml:space="preserve"> that m</w:t>
      </w:r>
      <w:r w:rsidR="00DE79F7" w:rsidRPr="0047111C">
        <w:t>ultiple subwatersheds within the project area already exceed standards identified in the Forest Plan for the amount of harvest area and the amount of roaded area. Additional subwatersheds have been identified as having a high potential for sedime</w:t>
      </w:r>
      <w:r w:rsidR="00DE79F7">
        <w:t>nt impacts to aquatic resources</w:t>
      </w:r>
      <w:r w:rsidR="00261CB7">
        <w:t>. you</w:t>
      </w:r>
      <w:r w:rsidR="00DE79F7">
        <w:t xml:space="preserve"> state that the Forest Service should avoid logging activities that will cause or e</w:t>
      </w:r>
      <w:r w:rsidR="00261CB7">
        <w:t>xacerbate exceedances of the 20 percent</w:t>
      </w:r>
      <w:r w:rsidR="00DE79F7">
        <w:t xml:space="preserve"> standard and it should also avoid any road construction or reconstruction if the activity</w:t>
      </w:r>
      <w:r w:rsidR="00261CB7">
        <w:t xml:space="preserve"> that</w:t>
      </w:r>
      <w:r w:rsidR="00DE79F7">
        <w:t xml:space="preserve"> will increase </w:t>
      </w:r>
      <w:r w:rsidR="00261CB7">
        <w:t>or cause exceedances of the 2.5 percent</w:t>
      </w:r>
      <w:r w:rsidR="00DE79F7">
        <w:t xml:space="preserve"> standards.</w:t>
      </w:r>
    </w:p>
    <w:p w14:paraId="47F6D59A" w14:textId="4D39F128" w:rsidR="00DE79F7" w:rsidRDefault="007A730E" w:rsidP="00DE79F7">
      <w:r w:rsidRPr="007A730E">
        <w:rPr>
          <w:b/>
        </w:rPr>
        <w:t>Response:</w:t>
      </w:r>
      <w:r>
        <w:t xml:space="preserve"> </w:t>
      </w:r>
      <w:r w:rsidR="00DE79F7" w:rsidRPr="00FB47FD">
        <w:t xml:space="preserve">The standards </w:t>
      </w:r>
      <w:r>
        <w:t xml:space="preserve">you </w:t>
      </w:r>
      <w:r w:rsidR="00DE79F7" w:rsidRPr="00FB47FD">
        <w:t xml:space="preserve">referenced are not recognized specifically by the Tongass National Forest. The road density recommendations within the Forest Plan are specific to Alexander Archipelago Wolf, and the plan does not contain additional numeric </w:t>
      </w:r>
      <w:r w:rsidR="00DE79F7">
        <w:t xml:space="preserve">road density </w:t>
      </w:r>
      <w:r w:rsidR="00DE79F7" w:rsidRPr="00FB47FD">
        <w:t xml:space="preserve">thresholds for timber harvest or road impacts on aquatic resources. </w:t>
      </w:r>
    </w:p>
    <w:p w14:paraId="636D5394" w14:textId="559738B7" w:rsidR="00DE79F7" w:rsidRPr="001C4862" w:rsidRDefault="00DE79F7" w:rsidP="00DE79F7">
      <w:pPr>
        <w:rPr>
          <w:rFonts w:eastAsia="Calibri"/>
        </w:rPr>
      </w:pPr>
      <w:r w:rsidRPr="00FB47FD">
        <w:t>The FEIS analysis was done by incorporating relevant numeric literature thresholds for a method of analyzing effects to aquatic resou</w:t>
      </w:r>
      <w:r w:rsidR="00261CB7">
        <w:t>rces. Additional information is</w:t>
      </w:r>
      <w:r w:rsidRPr="00FB47FD">
        <w:t xml:space="preserve"> provided in Table 34 (FEIS, p</w:t>
      </w:r>
      <w:r w:rsidR="00B0125D">
        <w:t xml:space="preserve">. </w:t>
      </w:r>
      <w:r w:rsidRPr="00FB47FD">
        <w:t xml:space="preserve">152) and in Appendix </w:t>
      </w:r>
      <w:r w:rsidR="00261CB7">
        <w:t>D, Response to Comments i</w:t>
      </w:r>
      <w:r w:rsidR="00D77F0B">
        <w:t>n the d</w:t>
      </w:r>
      <w:r w:rsidRPr="00FB47FD">
        <w:t xml:space="preserve">raft </w:t>
      </w:r>
      <w:r w:rsidR="00D77F0B">
        <w:t xml:space="preserve">EIS </w:t>
      </w:r>
      <w:r>
        <w:t>(Appendix D, p</w:t>
      </w:r>
      <w:r w:rsidR="00B0125D">
        <w:t xml:space="preserve">. </w:t>
      </w:r>
      <w:r>
        <w:t>24). The FEIS states that a</w:t>
      </w:r>
      <w:r w:rsidRPr="00FB47FD">
        <w:t>dditional analysis will be condu</w:t>
      </w:r>
      <w:r w:rsidR="00261CB7">
        <w:t>cted during the implementation p</w:t>
      </w:r>
      <w:r w:rsidRPr="00FB47FD">
        <w:t xml:space="preserve">rocess to ensure </w:t>
      </w:r>
      <w:r w:rsidRPr="001C4862">
        <w:rPr>
          <w:rFonts w:eastAsia="Calibri"/>
        </w:rPr>
        <w:t>that effects are within the decision</w:t>
      </w:r>
      <w:r>
        <w:rPr>
          <w:rFonts w:eastAsia="Calibri"/>
        </w:rPr>
        <w:t xml:space="preserve"> space</w:t>
      </w:r>
      <w:r w:rsidRPr="001C4862">
        <w:rPr>
          <w:rFonts w:eastAsia="Calibri"/>
        </w:rPr>
        <w:t xml:space="preserve"> and do not degrade streams. </w:t>
      </w:r>
    </w:p>
    <w:p w14:paraId="742C3E69" w14:textId="3695852C" w:rsidR="00DE79F7" w:rsidRPr="00FB47FD" w:rsidRDefault="00DE79F7" w:rsidP="00DE79F7">
      <w:r w:rsidRPr="00FB47FD">
        <w:t xml:space="preserve">I find that the </w:t>
      </w:r>
      <w:r w:rsidR="00261CB7">
        <w:t>FEIS</w:t>
      </w:r>
      <w:r w:rsidRPr="00FB47FD">
        <w:t xml:space="preserve"> properly analyzed disturbance within the planning</w:t>
      </w:r>
      <w:r w:rsidR="00261CB7">
        <w:t xml:space="preserve"> area using required guidelines and </w:t>
      </w:r>
      <w:r w:rsidRPr="00FB47FD">
        <w:t xml:space="preserve">regulations and best available science.   </w:t>
      </w:r>
    </w:p>
    <w:p w14:paraId="606346B1" w14:textId="77777777" w:rsidR="00B0125D" w:rsidRDefault="00B0125D" w:rsidP="00DE79F7"/>
    <w:p w14:paraId="5B9BDA94" w14:textId="62E806E6" w:rsidR="00DE79F7" w:rsidRPr="008C32C8" w:rsidRDefault="00B0125D" w:rsidP="00DE79F7">
      <w:r w:rsidRPr="00B0125D">
        <w:rPr>
          <w:b/>
        </w:rPr>
        <w:t>Issue:</w:t>
      </w:r>
      <w:r>
        <w:t xml:space="preserve"> </w:t>
      </w:r>
      <w:r>
        <w:tab/>
        <w:t>You assert</w:t>
      </w:r>
      <w:r w:rsidR="00DE79F7">
        <w:t xml:space="preserve"> that the Forest </w:t>
      </w:r>
      <w:r w:rsidR="00DE79F7" w:rsidRPr="008C32C8">
        <w:t>Service should remove, replace or repair all the existing red pipes and conduct an inventory to seek out additional, not</w:t>
      </w:r>
      <w:r w:rsidR="00DE79F7">
        <w:t xml:space="preserve"> </w:t>
      </w:r>
      <w:r w:rsidR="00DE79F7" w:rsidRPr="008C32C8">
        <w:t>yet</w:t>
      </w:r>
      <w:r w:rsidR="00DE79F7">
        <w:t xml:space="preserve"> </w:t>
      </w:r>
      <w:r w:rsidR="00DE79F7" w:rsidRPr="008C32C8">
        <w:t>discovered red pipes.</w:t>
      </w:r>
      <w:r>
        <w:t xml:space="preserve"> You further assert that t</w:t>
      </w:r>
      <w:r w:rsidR="00DE79F7" w:rsidRPr="008C32C8">
        <w:t>he fact that these issues persist and will be compounded</w:t>
      </w:r>
      <w:r w:rsidR="00DE79F7">
        <w:t xml:space="preserve"> </w:t>
      </w:r>
      <w:r w:rsidR="00DE79F7" w:rsidRPr="008C32C8">
        <w:t>by new road construction activities under the FEIS and draft ROD without any meaningful plan to</w:t>
      </w:r>
      <w:r w:rsidR="00DE79F7">
        <w:t xml:space="preserve"> </w:t>
      </w:r>
      <w:r w:rsidR="00DE79F7" w:rsidRPr="008C32C8">
        <w:t xml:space="preserve">address the significant backlog of road maintenance and restoration needs is unacceptable. </w:t>
      </w:r>
      <w:r w:rsidR="00261CB7">
        <w:t>You claim that t</w:t>
      </w:r>
      <w:r w:rsidR="00DE79F7" w:rsidRPr="008C32C8">
        <w:t>he lack of</w:t>
      </w:r>
      <w:r w:rsidR="00DE79F7">
        <w:t xml:space="preserve"> </w:t>
      </w:r>
      <w:r w:rsidR="00DE79F7" w:rsidRPr="008C32C8">
        <w:t>justification for this decision is arbitrary.</w:t>
      </w:r>
    </w:p>
    <w:p w14:paraId="051D3749" w14:textId="77777777" w:rsidR="00DE79F7" w:rsidRPr="000640D1" w:rsidRDefault="00B0125D" w:rsidP="00DE79F7">
      <w:pPr>
        <w:rPr>
          <w:rFonts w:eastAsia="Calibri"/>
        </w:rPr>
      </w:pPr>
      <w:r w:rsidRPr="00B0125D">
        <w:rPr>
          <w:rFonts w:eastAsia="Calibri"/>
          <w:b/>
        </w:rPr>
        <w:t>Response:</w:t>
      </w:r>
      <w:r>
        <w:rPr>
          <w:rFonts w:eastAsia="Calibri"/>
        </w:rPr>
        <w:t xml:space="preserve"> </w:t>
      </w:r>
      <w:r w:rsidR="00DE79F7" w:rsidRPr="000640D1">
        <w:rPr>
          <w:rFonts w:eastAsia="Calibri"/>
        </w:rPr>
        <w:t xml:space="preserve">The red pipe remediation program is an important part of the Forest’s program of work and is part of all action alternatives FEIS </w:t>
      </w:r>
      <w:r w:rsidR="00DE79F7">
        <w:rPr>
          <w:rFonts w:eastAsia="Calibri"/>
        </w:rPr>
        <w:t>(</w:t>
      </w:r>
      <w:r w:rsidR="00DE79F7" w:rsidRPr="000640D1">
        <w:rPr>
          <w:rFonts w:eastAsia="Calibri"/>
        </w:rPr>
        <w:t>p. 27</w:t>
      </w:r>
      <w:r w:rsidR="00DE79F7">
        <w:rPr>
          <w:rFonts w:eastAsia="Calibri"/>
        </w:rPr>
        <w:t>)</w:t>
      </w:r>
      <w:r w:rsidR="00DE79F7" w:rsidRPr="000640D1">
        <w:rPr>
          <w:rFonts w:eastAsia="Calibri"/>
        </w:rPr>
        <w:t xml:space="preserve">. The </w:t>
      </w:r>
      <w:r>
        <w:rPr>
          <w:rFonts w:eastAsia="Calibri"/>
        </w:rPr>
        <w:t>FEIS</w:t>
      </w:r>
      <w:r w:rsidR="00DE79F7" w:rsidRPr="000640D1">
        <w:rPr>
          <w:rFonts w:eastAsia="Calibri"/>
        </w:rPr>
        <w:t xml:space="preserve"> contains a thorough discussion and analysis of the need, effects, and implementation process for the red pipe remediation program which is common to all alternatives.   </w:t>
      </w:r>
    </w:p>
    <w:p w14:paraId="4CDEA4FD" w14:textId="712F08E0" w:rsidR="00DE79F7" w:rsidRPr="00FB47FD" w:rsidRDefault="00DE79F7" w:rsidP="00DE79F7">
      <w:r w:rsidRPr="00FB47FD">
        <w:t xml:space="preserve">Per the FEIS, all newly installed fish-stream crossing structures must meet fish </w:t>
      </w:r>
      <w:r w:rsidR="00261CB7">
        <w:t>passage requirements (FEIS, p.</w:t>
      </w:r>
      <w:r w:rsidR="00B0125D">
        <w:t xml:space="preserve"> 44). Additional information is</w:t>
      </w:r>
      <w:r w:rsidRPr="00FB47FD">
        <w:t xml:space="preserve"> available in the Appendix A, Activity Cards as well (Card 25, Activity: Stream Crossing Structures). </w:t>
      </w:r>
      <w:r w:rsidR="00B0125D">
        <w:t>The analysis found that</w:t>
      </w:r>
      <w:r w:rsidRPr="00FB47FD">
        <w:t xml:space="preserve"> the proposed activities would not increase the number of red </w:t>
      </w:r>
      <w:r w:rsidR="00D2667C">
        <w:t xml:space="preserve">pipe </w:t>
      </w:r>
      <w:r w:rsidRPr="00FB47FD">
        <w:t xml:space="preserve">crossings within the planning area. </w:t>
      </w:r>
    </w:p>
    <w:p w14:paraId="146C63F7" w14:textId="01B118EF" w:rsidR="00DE79F7" w:rsidRPr="00FB47FD" w:rsidRDefault="00DE79F7" w:rsidP="00DE79F7">
      <w:r w:rsidRPr="00FB47FD">
        <w:t>For existing red</w:t>
      </w:r>
      <w:r w:rsidR="00D2667C">
        <w:t xml:space="preserve"> pipe</w:t>
      </w:r>
      <w:r w:rsidRPr="00FB47FD">
        <w:t xml:space="preserve"> crossings within t</w:t>
      </w:r>
      <w:r w:rsidR="005A7C58">
        <w:t>he project area and across the F</w:t>
      </w:r>
      <w:r w:rsidRPr="00FB47FD">
        <w:t xml:space="preserve">orest, replacement of the red </w:t>
      </w:r>
      <w:r w:rsidR="00D2667C">
        <w:t xml:space="preserve">pipe </w:t>
      </w:r>
      <w:r w:rsidRPr="00FB47FD">
        <w:t xml:space="preserve">crossing is an ongoing </w:t>
      </w:r>
      <w:r w:rsidR="00B0125D">
        <w:t>an</w:t>
      </w:r>
      <w:r w:rsidR="005A7C58">
        <w:t>d</w:t>
      </w:r>
      <w:r w:rsidR="00B0125D">
        <w:t xml:space="preserve"> important </w:t>
      </w:r>
      <w:r w:rsidR="005A7C58">
        <w:t>process that is</w:t>
      </w:r>
      <w:r w:rsidRPr="00FB47FD">
        <w:t xml:space="preserve"> funding dependent. </w:t>
      </w:r>
      <w:r w:rsidR="00B0125D">
        <w:t>While o</w:t>
      </w:r>
      <w:r>
        <w:t xml:space="preserve">btaining a full inventory of all the red </w:t>
      </w:r>
      <w:r w:rsidR="00D2667C">
        <w:t xml:space="preserve">pipe </w:t>
      </w:r>
      <w:r>
        <w:t>crossings is not within th</w:t>
      </w:r>
      <w:r w:rsidR="005A7C58">
        <w:t>e scope of the proposed a</w:t>
      </w:r>
      <w:r w:rsidR="00B0125D">
        <w:t>ction, r</w:t>
      </w:r>
      <w:r w:rsidRPr="00FB47FD">
        <w:t>ed</w:t>
      </w:r>
      <w:r w:rsidR="00D2667C">
        <w:t xml:space="preserve"> pipe</w:t>
      </w:r>
      <w:r w:rsidRPr="00FB47FD">
        <w:t xml:space="preserve"> crossing remediation can be continued under all POWLLA action alternatives</w:t>
      </w:r>
      <w:r w:rsidR="00B0125D">
        <w:t xml:space="preserve">. </w:t>
      </w:r>
      <w:r w:rsidRPr="00FB47FD">
        <w:t xml:space="preserve">The remediation and prioritization of red </w:t>
      </w:r>
      <w:r w:rsidR="00D2667C">
        <w:t xml:space="preserve">pipe </w:t>
      </w:r>
      <w:r w:rsidRPr="00FB47FD">
        <w:t xml:space="preserve">crossings are further discussed in Appendix A (Activity Card 26), and in the decision trees in Appendix B (B-9 thru B-14). </w:t>
      </w:r>
      <w:r>
        <w:t xml:space="preserve">The restoration efforts discussed in the FEIS work </w:t>
      </w:r>
      <w:r w:rsidR="005A7C58">
        <w:t>towards the advancement of the F</w:t>
      </w:r>
      <w:r>
        <w:t>orest’s red</w:t>
      </w:r>
      <w:r w:rsidR="00D2667C">
        <w:t xml:space="preserve"> pipe</w:t>
      </w:r>
      <w:r>
        <w:t xml:space="preserve"> crossing remediation efforts and the overall improvement of the watershed conditions. </w:t>
      </w:r>
    </w:p>
    <w:p w14:paraId="1D43BD58" w14:textId="748C216C" w:rsidR="00DE79F7" w:rsidRPr="00FB47FD" w:rsidRDefault="00B0125D" w:rsidP="00DE79F7">
      <w:r>
        <w:t>As the</w:t>
      </w:r>
      <w:r w:rsidR="00DE79F7" w:rsidRPr="00FB47FD">
        <w:t xml:space="preserve"> FEIS requires that all newly constructed crossings meet fish passage requirements, and harvesting activities could generate additional funding to advance restoration efforts of red </w:t>
      </w:r>
      <w:r w:rsidR="001D7273">
        <w:t xml:space="preserve">pipe </w:t>
      </w:r>
      <w:r w:rsidR="00DE79F7" w:rsidRPr="00FB47FD">
        <w:t xml:space="preserve">crossings created by </w:t>
      </w:r>
      <w:r w:rsidR="00DE79F7">
        <w:t>past activities, I conclude the selected</w:t>
      </w:r>
      <w:r w:rsidR="00D77F0B">
        <w:t xml:space="preserve"> actions identified within the draft </w:t>
      </w:r>
      <w:r w:rsidR="00DE79F7">
        <w:t xml:space="preserve">ROD </w:t>
      </w:r>
      <w:r w:rsidR="00DE79F7" w:rsidRPr="00FB47FD">
        <w:t>would have a positive effect on remediation efforts.</w:t>
      </w:r>
    </w:p>
    <w:p w14:paraId="4AC39ECD" w14:textId="77777777" w:rsidR="00B0125D" w:rsidRDefault="00B0125D" w:rsidP="00DE79F7"/>
    <w:p w14:paraId="4DB00367" w14:textId="77777777" w:rsidR="00DE79F7" w:rsidRDefault="00B0125D" w:rsidP="00DE79F7">
      <w:pPr>
        <w:rPr>
          <w:b/>
          <w:vertAlign w:val="superscript"/>
        </w:rPr>
      </w:pPr>
      <w:r w:rsidRPr="003E1A4F">
        <w:rPr>
          <w:b/>
        </w:rPr>
        <w:t>Issue:</w:t>
      </w:r>
      <w:r>
        <w:t xml:space="preserve"> </w:t>
      </w:r>
      <w:r>
        <w:tab/>
        <w:t>You assert</w:t>
      </w:r>
      <w:r w:rsidR="00DE79F7" w:rsidRPr="000146A7">
        <w:t xml:space="preserve"> </w:t>
      </w:r>
      <w:r w:rsidR="00DE79F7">
        <w:t>that the range of alternatives is inadequate g</w:t>
      </w:r>
      <w:r w:rsidR="00DE79F7" w:rsidRPr="001C4862">
        <w:t xml:space="preserve">iven that the various action alternatives have very little difference in how much new road construction would occur within 300 feet of fish habitat—ranging from a low of 118 miles for Alternative 5 to 122 miles for Alternatives 2 and </w:t>
      </w:r>
      <w:r w:rsidR="00DE79F7">
        <w:t>3.</w:t>
      </w:r>
    </w:p>
    <w:p w14:paraId="747F5397" w14:textId="77777777" w:rsidR="00DE79F7" w:rsidRPr="00234C25" w:rsidRDefault="00DE79F7" w:rsidP="00DE79F7">
      <w:pPr>
        <w:pStyle w:val="Heading2"/>
      </w:pPr>
      <w:r w:rsidRPr="00234C25">
        <w:t>Response:</w:t>
      </w:r>
    </w:p>
    <w:p w14:paraId="53B6CB81" w14:textId="2AAF60AA" w:rsidR="00C93917" w:rsidRPr="00C93917" w:rsidRDefault="00C93917" w:rsidP="00C93917">
      <w:r w:rsidRPr="00C93917">
        <w:t>The range of alternatives do not have to display a wide range of variation between each aspect of the alternatives, rather 40 CFR 1502.14(a) requires agencies to “[r]igorously explore and objectively evaluate all reasonable alternatives, and for alternatives which were eliminated from detailed study, briefly discuss the reasons for their having been eliminated.” As established in case law interpreting the NEPA, the phrase “all reasonable alternatives” has not been interpreted to require that an infinite or unreasonable number of alternatives be analyzed, but does require a range of reasonab</w:t>
      </w:r>
      <w:r w:rsidR="005A7C58">
        <w:t xml:space="preserve">le alternatives be analyzed; </w:t>
      </w:r>
      <w:r w:rsidRPr="00C93917">
        <w:t xml:space="preserve">no specific number of alternatives is required or prescribed. </w:t>
      </w:r>
    </w:p>
    <w:p w14:paraId="26A9F340" w14:textId="42E57960" w:rsidR="00C93917" w:rsidRPr="00C93917" w:rsidRDefault="00C93917" w:rsidP="00C93917">
      <w:r w:rsidRPr="00C93917">
        <w:t xml:space="preserve">The record and decision fully comply with the applicable rules and regulations to consider a reasonable range of alternatives, and the purpose and need is consistent with the </w:t>
      </w:r>
      <w:r w:rsidR="00D77F0B">
        <w:t>Forest Plan</w:t>
      </w:r>
      <w:r w:rsidRPr="00C93917">
        <w:t xml:space="preserve"> Goals and Objectives related to local and regional economies.</w:t>
      </w:r>
    </w:p>
    <w:p w14:paraId="60E59A7E" w14:textId="77777777" w:rsidR="002A40A2" w:rsidRPr="008951CC" w:rsidRDefault="002A40A2" w:rsidP="008951CC">
      <w:pPr>
        <w:keepNext/>
        <w:outlineLvl w:val="1"/>
        <w:rPr>
          <w:rFonts w:ascii="Cambria" w:eastAsia="Times New Roman" w:hAnsi="Cambria" w:cs="Times New Roman"/>
          <w:b/>
          <w:iCs/>
          <w:szCs w:val="24"/>
        </w:rPr>
      </w:pPr>
      <w:r>
        <w:rPr>
          <w:rFonts w:ascii="Cambria" w:eastAsia="Times New Roman" w:hAnsi="Cambria" w:cs="Times New Roman"/>
          <w:b/>
          <w:iCs/>
          <w:szCs w:val="24"/>
        </w:rPr>
        <w:t>Summary</w:t>
      </w:r>
    </w:p>
    <w:p w14:paraId="780CBA1C" w14:textId="77777777" w:rsidR="005A7C58" w:rsidRDefault="005A7C58" w:rsidP="005A7C58">
      <w:r>
        <w:t>I have reviewed your objections and note that your concerns have been generally addressed in the FEIS. My review finds the Project complies with all applicable laws and the Forest Plan. However, during my review of the FEIS I noted that additional clarifications would be beneficial. As such I have issued the above instructions to the Responsible Official. My review constitutes the final administrative determination of the Department of Agriculture; no further review from any other Forest Service or Department of Agriculture official of my written response to your objection is available (36</w:t>
      </w:r>
      <w:r w:rsidRPr="00AA3E59">
        <w:t xml:space="preserve"> </w:t>
      </w:r>
      <w:r w:rsidRPr="00500EC7">
        <w:t>CFR 218.11(b)(2)</w:t>
      </w:r>
      <w:r>
        <w:t>)</w:t>
      </w:r>
      <w:r w:rsidRPr="00500EC7">
        <w:t xml:space="preserve">. The </w:t>
      </w:r>
      <w:r>
        <w:t>R</w:t>
      </w:r>
      <w:r w:rsidRPr="00500EC7">
        <w:t xml:space="preserve">esponsible </w:t>
      </w:r>
      <w:r>
        <w:t>O</w:t>
      </w:r>
      <w:r w:rsidRPr="00500EC7">
        <w:t>fficial may sign the Record of De</w:t>
      </w:r>
      <w:r>
        <w:t>cision for this project once all</w:t>
      </w:r>
      <w:r w:rsidRPr="00500EC7">
        <w:t xml:space="preserve"> instructions are completed.</w:t>
      </w:r>
    </w:p>
    <w:p w14:paraId="289EAF1F" w14:textId="77777777" w:rsidR="004D466C" w:rsidRDefault="004D466C" w:rsidP="008951CC"/>
    <w:p w14:paraId="6AB10BF4" w14:textId="77777777" w:rsidR="004D466C" w:rsidRDefault="004D466C" w:rsidP="008951CC"/>
    <w:p w14:paraId="25248BB9" w14:textId="77777777" w:rsidR="004D466C" w:rsidRDefault="004D466C" w:rsidP="008951CC"/>
    <w:p w14:paraId="06110A42" w14:textId="77777777" w:rsidR="004D466C" w:rsidRDefault="004D466C" w:rsidP="008951CC"/>
    <w:p w14:paraId="56C3357B" w14:textId="09C0A914" w:rsidR="004D466C" w:rsidRPr="0011700E" w:rsidRDefault="004D466C" w:rsidP="008951CC"/>
    <w:sectPr w:rsidR="004D466C" w:rsidRPr="001170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F1AD9" w14:textId="77777777" w:rsidR="00CF771A" w:rsidRDefault="00CF771A" w:rsidP="00381931">
      <w:pPr>
        <w:spacing w:after="0"/>
      </w:pPr>
      <w:r>
        <w:separator/>
      </w:r>
    </w:p>
  </w:endnote>
  <w:endnote w:type="continuationSeparator" w:id="0">
    <w:p w14:paraId="651E71B9" w14:textId="77777777" w:rsidR="00CF771A" w:rsidRDefault="00CF771A"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890340"/>
      <w:docPartObj>
        <w:docPartGallery w:val="Page Numbers (Bottom of Page)"/>
        <w:docPartUnique/>
      </w:docPartObj>
    </w:sdtPr>
    <w:sdtEndPr>
      <w:rPr>
        <w:color w:val="7F7F7F" w:themeColor="background1" w:themeShade="7F"/>
        <w:spacing w:val="60"/>
      </w:rPr>
    </w:sdtEndPr>
    <w:sdtContent>
      <w:p w14:paraId="5C3428C6" w14:textId="77777777" w:rsidR="0012759F" w:rsidRDefault="001275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F771A" w:rsidRPr="00CF771A">
          <w:rPr>
            <w:b/>
            <w:bCs/>
            <w:noProof/>
          </w:rPr>
          <w:t>1</w:t>
        </w:r>
        <w:r>
          <w:rPr>
            <w:b/>
            <w:bCs/>
            <w:noProof/>
          </w:rPr>
          <w:fldChar w:fldCharType="end"/>
        </w:r>
        <w:r>
          <w:rPr>
            <w:b/>
            <w:bCs/>
          </w:rPr>
          <w:t xml:space="preserve"> | </w:t>
        </w:r>
        <w:r>
          <w:rPr>
            <w:color w:val="7F7F7F" w:themeColor="background1" w:themeShade="7F"/>
            <w:spacing w:val="60"/>
          </w:rPr>
          <w:t>Page</w:t>
        </w:r>
      </w:p>
    </w:sdtContent>
  </w:sdt>
  <w:p w14:paraId="580D0CB8" w14:textId="77777777" w:rsidR="0012759F" w:rsidRDefault="00127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8DEC8" w14:textId="77777777" w:rsidR="00CF771A" w:rsidRDefault="00CF771A" w:rsidP="00381931">
      <w:pPr>
        <w:spacing w:after="0"/>
      </w:pPr>
      <w:r>
        <w:separator/>
      </w:r>
    </w:p>
  </w:footnote>
  <w:footnote w:type="continuationSeparator" w:id="0">
    <w:p w14:paraId="5044DBA4" w14:textId="77777777" w:rsidR="00CF771A" w:rsidRDefault="00CF771A"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9A1D5" w14:textId="77777777" w:rsidR="00381931" w:rsidRDefault="00381931">
    <w:pPr>
      <w:pStyle w:val="Header"/>
    </w:pPr>
    <w:r>
      <w:t>Objection</w:t>
    </w:r>
    <w:r w:rsidR="00C329E3">
      <w:t xml:space="preserve"> Response POWLLA # 19-10-00-0</w:t>
    </w:r>
    <w:r w:rsidR="00541E75">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032B3"/>
    <w:multiLevelType w:val="hybridMultilevel"/>
    <w:tmpl w:val="E4C64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37C7"/>
    <w:rsid w:val="00043C21"/>
    <w:rsid w:val="00076F59"/>
    <w:rsid w:val="00085F33"/>
    <w:rsid w:val="000C472E"/>
    <w:rsid w:val="000F6A0B"/>
    <w:rsid w:val="0011700E"/>
    <w:rsid w:val="00122B98"/>
    <w:rsid w:val="0012759F"/>
    <w:rsid w:val="001A35C6"/>
    <w:rsid w:val="001D7273"/>
    <w:rsid w:val="00261CB7"/>
    <w:rsid w:val="00265015"/>
    <w:rsid w:val="002A40A2"/>
    <w:rsid w:val="002E2F2E"/>
    <w:rsid w:val="00381931"/>
    <w:rsid w:val="0039032C"/>
    <w:rsid w:val="003E1A4F"/>
    <w:rsid w:val="00470104"/>
    <w:rsid w:val="0047257E"/>
    <w:rsid w:val="004A2A92"/>
    <w:rsid w:val="004A488A"/>
    <w:rsid w:val="004B4E3A"/>
    <w:rsid w:val="004C40DB"/>
    <w:rsid w:val="004D466C"/>
    <w:rsid w:val="00506F6B"/>
    <w:rsid w:val="00511EA5"/>
    <w:rsid w:val="00524F0C"/>
    <w:rsid w:val="005276FA"/>
    <w:rsid w:val="00541E75"/>
    <w:rsid w:val="005A66E7"/>
    <w:rsid w:val="005A7C58"/>
    <w:rsid w:val="0060254B"/>
    <w:rsid w:val="006556AA"/>
    <w:rsid w:val="006A2BE6"/>
    <w:rsid w:val="006C0265"/>
    <w:rsid w:val="006E41DD"/>
    <w:rsid w:val="00740CB3"/>
    <w:rsid w:val="00750DCD"/>
    <w:rsid w:val="00771FB6"/>
    <w:rsid w:val="00793ECA"/>
    <w:rsid w:val="007A730E"/>
    <w:rsid w:val="007A778F"/>
    <w:rsid w:val="007F2CC6"/>
    <w:rsid w:val="007F33A3"/>
    <w:rsid w:val="007F610A"/>
    <w:rsid w:val="008133CA"/>
    <w:rsid w:val="00857416"/>
    <w:rsid w:val="008915D4"/>
    <w:rsid w:val="0089492E"/>
    <w:rsid w:val="008951CC"/>
    <w:rsid w:val="00906172"/>
    <w:rsid w:val="00942940"/>
    <w:rsid w:val="00946130"/>
    <w:rsid w:val="00973DCC"/>
    <w:rsid w:val="0099000B"/>
    <w:rsid w:val="00991961"/>
    <w:rsid w:val="00992B5F"/>
    <w:rsid w:val="009A7015"/>
    <w:rsid w:val="00A57F58"/>
    <w:rsid w:val="00A803FC"/>
    <w:rsid w:val="00A82C39"/>
    <w:rsid w:val="00A8336C"/>
    <w:rsid w:val="00A83C5B"/>
    <w:rsid w:val="00AA3E59"/>
    <w:rsid w:val="00B0125D"/>
    <w:rsid w:val="00B111FE"/>
    <w:rsid w:val="00B74046"/>
    <w:rsid w:val="00BA70AF"/>
    <w:rsid w:val="00C17BE3"/>
    <w:rsid w:val="00C329E3"/>
    <w:rsid w:val="00C81D84"/>
    <w:rsid w:val="00C86650"/>
    <w:rsid w:val="00C93917"/>
    <w:rsid w:val="00CF771A"/>
    <w:rsid w:val="00D04709"/>
    <w:rsid w:val="00D062A7"/>
    <w:rsid w:val="00D2667C"/>
    <w:rsid w:val="00D774F1"/>
    <w:rsid w:val="00D77F0B"/>
    <w:rsid w:val="00D86723"/>
    <w:rsid w:val="00DC393B"/>
    <w:rsid w:val="00DE1E9A"/>
    <w:rsid w:val="00DE79F7"/>
    <w:rsid w:val="00E50161"/>
    <w:rsid w:val="00EC1C32"/>
    <w:rsid w:val="00F03A16"/>
    <w:rsid w:val="00F376F7"/>
    <w:rsid w:val="00FB148A"/>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085C"/>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7A730E"/>
    <w:pPr>
      <w:keepNext/>
      <w:keepLines/>
      <w:spacing w:before="240"/>
      <w:outlineLvl w:val="0"/>
    </w:pPr>
    <w:rPr>
      <w:rFonts w:asciiTheme="minorHAnsi" w:eastAsiaTheme="majorEastAsia" w:hAnsiTheme="minorHAnsi" w:cstheme="minorHAnsi"/>
      <w:b/>
    </w:rPr>
  </w:style>
  <w:style w:type="paragraph" w:styleId="Heading2">
    <w:name w:val="heading 2"/>
    <w:basedOn w:val="Normal"/>
    <w:next w:val="Normal"/>
    <w:link w:val="Heading2Char"/>
    <w:autoRedefine/>
    <w:uiPriority w:val="9"/>
    <w:unhideWhenUsed/>
    <w:qFormat/>
    <w:rsid w:val="006A2BE6"/>
    <w:pPr>
      <w:keepNext/>
      <w:keepLines/>
      <w:spacing w:before="120" w:after="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unhideWhenUsed/>
    <w:qFormat/>
    <w:rsid w:val="00740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E6"/>
    <w:rPr>
      <w:rFonts w:eastAsia="Calibri" w:cstheme="minorHAnsi"/>
      <w:b/>
      <w:szCs w:val="26"/>
    </w:rPr>
  </w:style>
  <w:style w:type="character" w:customStyle="1" w:styleId="Heading1Char">
    <w:name w:val="Heading 1 Char"/>
    <w:basedOn w:val="DefaultParagraphFont"/>
    <w:link w:val="Heading1"/>
    <w:uiPriority w:val="9"/>
    <w:rsid w:val="007A730E"/>
    <w:rPr>
      <w:rFonts w:eastAsiaTheme="majorEastAsia" w:cstheme="minorHAnsi"/>
      <w:b/>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rsid w:val="00740CB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DE79F7"/>
    <w:rPr>
      <w:sz w:val="16"/>
      <w:szCs w:val="16"/>
    </w:rPr>
  </w:style>
  <w:style w:type="paragraph" w:styleId="CommentText">
    <w:name w:val="annotation text"/>
    <w:basedOn w:val="Normal"/>
    <w:link w:val="CommentTextChar"/>
    <w:rsid w:val="00DE79F7"/>
    <w:pPr>
      <w:spacing w:after="0"/>
      <w:ind w:left="720"/>
    </w:pPr>
    <w:rPr>
      <w:rFonts w:asciiTheme="minorHAnsi" w:eastAsia="Times New Roman" w:hAnsiTheme="minorHAnsi" w:cs="Times New Roman"/>
      <w:szCs w:val="20"/>
      <w:lang w:bidi="en-US"/>
    </w:rPr>
  </w:style>
  <w:style w:type="character" w:customStyle="1" w:styleId="CommentTextChar">
    <w:name w:val="Comment Text Char"/>
    <w:basedOn w:val="DefaultParagraphFont"/>
    <w:link w:val="CommentText"/>
    <w:rsid w:val="00DE79F7"/>
    <w:rPr>
      <w:rFonts w:eastAsia="Times New Roman" w:cs="Times New Roman"/>
      <w:szCs w:val="20"/>
      <w:lang w:bidi="en-US"/>
    </w:rPr>
  </w:style>
  <w:style w:type="paragraph" w:styleId="BalloonText">
    <w:name w:val="Balloon Text"/>
    <w:basedOn w:val="Normal"/>
    <w:link w:val="BalloonTextChar"/>
    <w:uiPriority w:val="99"/>
    <w:semiHidden/>
    <w:unhideWhenUsed/>
    <w:rsid w:val="00DE79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9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667C"/>
    <w:pPr>
      <w:spacing w:after="120"/>
      <w:ind w:left="0"/>
    </w:pPr>
    <w:rPr>
      <w:rFonts w:ascii="Calibri" w:eastAsiaTheme="minorHAnsi" w:hAnsi="Calibri" w:cs="Calibri"/>
      <w:b/>
      <w:bCs/>
      <w:sz w:val="20"/>
      <w:lang w:bidi="ar-SA"/>
    </w:rPr>
  </w:style>
  <w:style w:type="character" w:customStyle="1" w:styleId="CommentSubjectChar">
    <w:name w:val="Comment Subject Char"/>
    <w:basedOn w:val="CommentTextChar"/>
    <w:link w:val="CommentSubject"/>
    <w:uiPriority w:val="99"/>
    <w:semiHidden/>
    <w:rsid w:val="00D2667C"/>
    <w:rPr>
      <w:rFonts w:ascii="Calibri" w:eastAsia="Times New Roman"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2019-03-02T00:16:00Z</dcterms:created>
  <dcterms:modified xsi:type="dcterms:W3CDTF">2019-03-02T00:16:00Z</dcterms:modified>
</cp:coreProperties>
</file>