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2ED00A" w14:textId="7D99CD8F" w:rsidR="00DB6E91" w:rsidRPr="00224114" w:rsidRDefault="005A66E7" w:rsidP="00DB6E91">
      <w:pPr>
        <w:rPr>
          <w:rFonts w:eastAsia="Calibri"/>
        </w:rPr>
      </w:pPr>
      <w:bookmarkStart w:id="0" w:name="_GoBack"/>
      <w:bookmarkEnd w:id="0"/>
      <w:r w:rsidRPr="00224114">
        <w:rPr>
          <w:b/>
        </w:rPr>
        <w:t>Issue:</w:t>
      </w:r>
      <w:r w:rsidRPr="00224114">
        <w:t xml:space="preserve"> </w:t>
      </w:r>
      <w:r w:rsidR="00771FB6" w:rsidRPr="00224114">
        <w:t xml:space="preserve">You allege that the Forest Service ignores </w:t>
      </w:r>
      <w:r w:rsidR="00DB6E91" w:rsidRPr="00224114">
        <w:t>the Multiple Use Sustained Yield Act (</w:t>
      </w:r>
      <w:r w:rsidR="00771FB6" w:rsidRPr="00224114">
        <w:t>MUSYA</w:t>
      </w:r>
      <w:r w:rsidR="00DB6E91" w:rsidRPr="00224114">
        <w:t>)</w:t>
      </w:r>
      <w:r w:rsidR="00771FB6" w:rsidRPr="00224114">
        <w:t xml:space="preserve"> (with its implied restraining sideboards on over harvesting old-growth to the detriment of other resources, as an example) and instead relies on the Forest Plan direction it gets from the </w:t>
      </w:r>
      <w:r w:rsidR="00DB6E91" w:rsidRPr="00224114">
        <w:t>National Forest Management Act (</w:t>
      </w:r>
      <w:r w:rsidR="00771FB6" w:rsidRPr="00224114">
        <w:t>NFMA</w:t>
      </w:r>
      <w:r w:rsidR="00DB6E91" w:rsidRPr="00224114">
        <w:t>)</w:t>
      </w:r>
      <w:r w:rsidR="00771FB6" w:rsidRPr="00224114">
        <w:t xml:space="preserve"> in setting harvest levels, which </w:t>
      </w:r>
      <w:r w:rsidR="00553027" w:rsidRPr="00224114">
        <w:t>you state</w:t>
      </w:r>
      <w:r w:rsidR="00DB6E91" w:rsidRPr="00224114">
        <w:t xml:space="preserve"> is unrestrained.</w:t>
      </w:r>
      <w:r w:rsidR="00771FB6" w:rsidRPr="00224114">
        <w:t xml:space="preserve"> </w:t>
      </w:r>
      <w:r w:rsidR="00DB6E91" w:rsidRPr="00224114">
        <w:t>You also allege that the draft EIS did not provide for further review and adjustment of timber sale offerings and other components of the Project in the event of changes to the Alaska Roadless Area rulemaking, updated forest inventory information, or new information or circumstances arising during implementation, as examples, and that it lacks flexibility to otherwise respond to changing conditions.</w:t>
      </w:r>
      <w:r w:rsidR="00DB6E91" w:rsidRPr="00224114">
        <w:rPr>
          <w:color w:val="0000CC"/>
        </w:rPr>
        <w:t xml:space="preserve"> </w:t>
      </w:r>
    </w:p>
    <w:p w14:paraId="44CAB1E5" w14:textId="77777777" w:rsidR="00DB6E91" w:rsidRPr="00224114" w:rsidRDefault="00771FB6" w:rsidP="00740CB3">
      <w:r w:rsidRPr="00224114">
        <w:rPr>
          <w:b/>
        </w:rPr>
        <w:t>Response:</w:t>
      </w:r>
      <w:r w:rsidRPr="00224114">
        <w:t xml:space="preserve"> </w:t>
      </w:r>
      <w:r w:rsidRPr="00224114">
        <w:rPr>
          <w:rStyle w:val="blue"/>
          <w:rFonts w:cstheme="minorHAnsi"/>
          <w:color w:val="000000" w:themeColor="text1"/>
        </w:rPr>
        <w:t xml:space="preserve">The draft ROD, FEIS, supporting project record and analysis complies with multiple-use and sustained-yield principals contained in the MUSYA and other applicable laws as follows: 1) </w:t>
      </w:r>
      <w:r w:rsidR="00DB6E91" w:rsidRPr="00224114">
        <w:rPr>
          <w:rStyle w:val="blue"/>
          <w:rFonts w:cstheme="minorHAnsi"/>
          <w:color w:val="000000" w:themeColor="text1"/>
        </w:rPr>
        <w:t>They are</w:t>
      </w:r>
      <w:r w:rsidRPr="00224114">
        <w:rPr>
          <w:rStyle w:val="blue"/>
          <w:rFonts w:cstheme="minorHAnsi"/>
          <w:color w:val="000000" w:themeColor="text1"/>
        </w:rPr>
        <w:t xml:space="preserve"> consistent with the multiple-use goals and objectives of the </w:t>
      </w:r>
      <w:r w:rsidR="00DB6E91" w:rsidRPr="00224114">
        <w:rPr>
          <w:rStyle w:val="blue"/>
          <w:rFonts w:cstheme="minorHAnsi"/>
          <w:color w:val="000000" w:themeColor="text1"/>
        </w:rPr>
        <w:t>Forest Plan in the discussion of short-term use and long-term productivity in the POWLLA; 2) they constrain timber harvest activities to those areas allocated to timber management in the Forest Plan, and 3) they employ a condition-based management strategy, where implementation of specific actions (described in Activity Cards) varies according to clearly identified on-the-ground and site-specific conditions. This allows flexibility when new information or changed circumstances arising during implementation are discovered, while staying within the design parameters and legal sideboards of the decision’s implementation plan</w:t>
      </w:r>
      <w:r w:rsidR="00DB6E91" w:rsidRPr="00224114">
        <w:t xml:space="preserve">. </w:t>
      </w:r>
    </w:p>
    <w:p w14:paraId="0F338A98" w14:textId="7275DBC7" w:rsidR="00740CB3" w:rsidRPr="00224114" w:rsidRDefault="00740CB3" w:rsidP="00740CB3">
      <w:r w:rsidRPr="00224114">
        <w:rPr>
          <w:rStyle w:val="blue"/>
          <w:rFonts w:cstheme="minorHAnsi"/>
          <w:color w:val="000000" w:themeColor="text1"/>
        </w:rPr>
        <w:t xml:space="preserve">The </w:t>
      </w:r>
      <w:r w:rsidR="00224114" w:rsidRPr="00224114">
        <w:rPr>
          <w:rStyle w:val="blue"/>
          <w:rFonts w:cstheme="minorHAnsi"/>
          <w:color w:val="000000" w:themeColor="text1"/>
        </w:rPr>
        <w:t>d</w:t>
      </w:r>
      <w:r w:rsidR="00DB6E91" w:rsidRPr="00224114">
        <w:rPr>
          <w:rStyle w:val="blue"/>
          <w:rFonts w:cstheme="minorHAnsi"/>
          <w:color w:val="000000" w:themeColor="text1"/>
        </w:rPr>
        <w:t xml:space="preserve">raft </w:t>
      </w:r>
      <w:r w:rsidRPr="00224114">
        <w:rPr>
          <w:rStyle w:val="blue"/>
          <w:rFonts w:cstheme="minorHAnsi"/>
          <w:color w:val="000000" w:themeColor="text1"/>
        </w:rPr>
        <w:t>ROD, FEIS, supporting project record and analysis complies with multiple-use and sustained-yield principals contained in the MUSYA and other applicable laws.</w:t>
      </w:r>
    </w:p>
    <w:p w14:paraId="47589A85" w14:textId="5A414E7E" w:rsidR="00771FB6" w:rsidRPr="00224114" w:rsidRDefault="00771FB6" w:rsidP="00771FB6">
      <w:r w:rsidRPr="00224114">
        <w:rPr>
          <w:rStyle w:val="blue"/>
          <w:color w:val="auto"/>
        </w:rPr>
        <w:t>In response to your allegation t</w:t>
      </w:r>
      <w:r w:rsidR="00DB6E91" w:rsidRPr="00224114">
        <w:rPr>
          <w:rStyle w:val="blue"/>
          <w:color w:val="auto"/>
        </w:rPr>
        <w:t>hat t</w:t>
      </w:r>
      <w:r w:rsidRPr="00224114">
        <w:rPr>
          <w:rStyle w:val="blue"/>
          <w:color w:val="auto"/>
        </w:rPr>
        <w:t xml:space="preserve">he EIS did not provide for further review and adjustment of timber sale offerings in the event of changes to the </w:t>
      </w:r>
      <w:r w:rsidR="00DB6E91" w:rsidRPr="00224114">
        <w:rPr>
          <w:rStyle w:val="blue"/>
          <w:color w:val="auto"/>
        </w:rPr>
        <w:t>Alaska Roadless Area rulemaking,</w:t>
      </w:r>
      <w:r w:rsidRPr="00224114">
        <w:rPr>
          <w:rStyle w:val="blue"/>
          <w:color w:val="auto"/>
        </w:rPr>
        <w:t xml:space="preserve"> </w:t>
      </w:r>
      <w:r w:rsidR="00DB6E91" w:rsidRPr="00224114">
        <w:t xml:space="preserve">prior to the publication of a draft </w:t>
      </w:r>
      <w:r w:rsidRPr="00224114">
        <w:t>EIS on the Alaska Roadless Rulemaking, alternatives remain uncertain, and the effects of those unknown alternatives cannot be meaningfully evaluated. The Forest acknowledges that once published it might result in change</w:t>
      </w:r>
      <w:r w:rsidR="00DB6E91" w:rsidRPr="00224114">
        <w:t>s to the Forest Plan as well as</w:t>
      </w:r>
      <w:r w:rsidRPr="00224114">
        <w:t xml:space="preserve"> changes to ongoing projects. NEPA sufficiency reviews may need to be conducted at that time which may or may not result in additional NEPA analysis.</w:t>
      </w:r>
    </w:p>
    <w:p w14:paraId="2D2CCE16" w14:textId="602DC275" w:rsidR="007F33A3" w:rsidRPr="00224114" w:rsidRDefault="007F33A3" w:rsidP="007F33A3">
      <w:r w:rsidRPr="00224114">
        <w:rPr>
          <w:b/>
        </w:rPr>
        <w:t>Instruction:</w:t>
      </w:r>
      <w:r w:rsidRPr="00224114">
        <w:t xml:space="preserve"> In my review of the FEIS I noted the following error which I am instructing the </w:t>
      </w:r>
      <w:r w:rsidR="00DB6E91" w:rsidRPr="00224114">
        <w:t xml:space="preserve">Responsible Official </w:t>
      </w:r>
      <w:r w:rsidRPr="00224114">
        <w:t>to correct prior to signing the ROD.</w:t>
      </w:r>
    </w:p>
    <w:p w14:paraId="2AEAFFCE" w14:textId="77777777" w:rsidR="007F33A3" w:rsidRPr="00224114" w:rsidRDefault="007F33A3" w:rsidP="007F33A3">
      <w:r w:rsidRPr="00224114">
        <w:t xml:space="preserve">An errata is needed to remove the following from the FEIS (p. 21) </w:t>
      </w:r>
    </w:p>
    <w:p w14:paraId="14644533" w14:textId="17B69D7B" w:rsidR="007F33A3" w:rsidRPr="00224114" w:rsidRDefault="007F33A3" w:rsidP="007F33A3">
      <w:pPr>
        <w:ind w:left="1440"/>
      </w:pPr>
      <w:r w:rsidRPr="00224114">
        <w:t>“The Alaska Roadless Rule will not make any changes to the Forest Plan or projects currently being implemented or proposed for implementation. “</w:t>
      </w:r>
    </w:p>
    <w:p w14:paraId="65BF7451" w14:textId="77777777" w:rsidR="00771FB6" w:rsidRPr="00224114" w:rsidRDefault="00771FB6" w:rsidP="00771FB6">
      <w:pPr>
        <w:rPr>
          <w:rStyle w:val="blue"/>
        </w:rPr>
      </w:pPr>
    </w:p>
    <w:p w14:paraId="7CDE2981" w14:textId="02ABA413" w:rsidR="00771FB6" w:rsidRPr="00224114" w:rsidRDefault="00771FB6" w:rsidP="00771FB6">
      <w:r w:rsidRPr="00224114">
        <w:rPr>
          <w:rStyle w:val="blue"/>
          <w:b/>
          <w:color w:val="auto"/>
        </w:rPr>
        <w:t>Issue:</w:t>
      </w:r>
      <w:r w:rsidRPr="00224114">
        <w:rPr>
          <w:rStyle w:val="blue"/>
          <w:color w:val="auto"/>
        </w:rPr>
        <w:t xml:space="preserve"> </w:t>
      </w:r>
      <w:r w:rsidRPr="00224114">
        <w:tab/>
        <w:t>You assert that NEPA requires proposals or parts of proposals to be related to each other closely enough to be, in effect, a single course of action. Because this project includes action not related to logging</w:t>
      </w:r>
      <w:r w:rsidR="00DB6E91" w:rsidRPr="00224114">
        <w:t xml:space="preserve">, you allege </w:t>
      </w:r>
      <w:r w:rsidRPr="00224114">
        <w:t>this is a violation of NEPA.</w:t>
      </w:r>
    </w:p>
    <w:p w14:paraId="71EB3125" w14:textId="6B9A7853" w:rsidR="00771FB6" w:rsidRPr="00224114" w:rsidRDefault="00771FB6" w:rsidP="00771FB6">
      <w:r w:rsidRPr="00224114">
        <w:rPr>
          <w:b/>
        </w:rPr>
        <w:t>Response:</w:t>
      </w:r>
      <w:r w:rsidRPr="00224114">
        <w:t xml:space="preserve"> Your assertion is incorrect. NEPA (</w:t>
      </w:r>
      <w:r w:rsidRPr="00224114">
        <w:rPr>
          <w:rFonts w:cstheme="minorHAnsi"/>
          <w:bCs/>
        </w:rPr>
        <w:t xml:space="preserve">40 CFR 1502) </w:t>
      </w:r>
      <w:r w:rsidR="0099000B" w:rsidRPr="00224114">
        <w:rPr>
          <w:rFonts w:cstheme="minorHAnsi"/>
          <w:bCs/>
        </w:rPr>
        <w:t xml:space="preserve">in effect states that </w:t>
      </w:r>
      <w:r w:rsidRPr="00224114">
        <w:t>proposals or parts of proposals related to each other closely enough to be, in effect, a single course of action shall be evaluated in a single impact statement</w:t>
      </w:r>
      <w:r w:rsidR="0099000B" w:rsidRPr="00224114">
        <w:t xml:space="preserve"> (rather than separate impact statements). </w:t>
      </w:r>
      <w:r w:rsidRPr="00224114">
        <w:t>However NEPA does not limit the type of actions that</w:t>
      </w:r>
      <w:r w:rsidR="0099000B" w:rsidRPr="00224114">
        <w:t xml:space="preserve"> may</w:t>
      </w:r>
      <w:r w:rsidR="00DB6E91" w:rsidRPr="00224114">
        <w:t xml:space="preserve"> be included in a single impact</w:t>
      </w:r>
      <w:r w:rsidR="0099000B" w:rsidRPr="00224114">
        <w:t xml:space="preserve"> statement, just that the actions need to meet the purpose and need of the project.</w:t>
      </w:r>
    </w:p>
    <w:p w14:paraId="66C95F3C" w14:textId="77777777" w:rsidR="007A778F" w:rsidRPr="00224114" w:rsidRDefault="007A778F" w:rsidP="007A778F"/>
    <w:p w14:paraId="5657784E" w14:textId="77777777" w:rsidR="007A778F" w:rsidRPr="00224114" w:rsidRDefault="007A778F" w:rsidP="007A778F">
      <w:r w:rsidRPr="00224114">
        <w:rPr>
          <w:b/>
        </w:rPr>
        <w:t>Issue:</w:t>
      </w:r>
      <w:r w:rsidRPr="00224114">
        <w:t xml:space="preserve"> </w:t>
      </w:r>
      <w:r w:rsidRPr="00224114">
        <w:tab/>
        <w:t>You allege that the FEIS violates NEPA because the Forest Service fails to analyze a reasonable r</w:t>
      </w:r>
      <w:r w:rsidR="00F3003A" w:rsidRPr="00224114">
        <w:t>ange of alternatives to the POW</w:t>
      </w:r>
      <w:r w:rsidRPr="00224114">
        <w:t>LLA and the alternatives presented are not different actions.</w:t>
      </w:r>
    </w:p>
    <w:p w14:paraId="74AF3DAC" w14:textId="459F61D9" w:rsidR="00740CB3" w:rsidRPr="00224114" w:rsidRDefault="007A778F" w:rsidP="007A778F">
      <w:r w:rsidRPr="00224114">
        <w:rPr>
          <w:b/>
        </w:rPr>
        <w:lastRenderedPageBreak/>
        <w:t>Response:</w:t>
      </w:r>
      <w:r w:rsidRPr="00224114">
        <w:t xml:space="preserve"> The range of alternatives do not have to display a wide range of variation between each aspect of the alternatives, rather 40 CFR 1502.14(a) requires agencies to “[r]igorously explore and objectively evaluate all reasonable alternatives, and for alternatives which were eliminated from detailed study, briefly discuss the reasons for their having been eliminated.” As established in case law interpreting the NEPA, the phrase “all reasonable alternatives” has not been interpreted to require that an infinite or unreasonable number of alternatives be analyzed, but does require a range of reasonable alternatives be analyzed</w:t>
      </w:r>
      <w:r w:rsidR="00DB6E91" w:rsidRPr="00224114">
        <w:t>;</w:t>
      </w:r>
      <w:r w:rsidR="00740CB3" w:rsidRPr="00224114">
        <w:t xml:space="preserve"> </w:t>
      </w:r>
      <w:r w:rsidRPr="00224114">
        <w:t xml:space="preserve">no specific number of alternatives is required or prescribed. </w:t>
      </w:r>
    </w:p>
    <w:p w14:paraId="01DDDA90" w14:textId="2A855C95" w:rsidR="007A778F" w:rsidRPr="00224114" w:rsidRDefault="007A778F" w:rsidP="007A778F">
      <w:r w:rsidRPr="00224114">
        <w:t xml:space="preserve">The record and decision fully comply with the applicable rules and regulations to consider a reasonable range of alternatives, and the purpose and need is consistent with the </w:t>
      </w:r>
      <w:r w:rsidR="00224114" w:rsidRPr="00224114">
        <w:t xml:space="preserve">Forest Plan </w:t>
      </w:r>
      <w:r w:rsidRPr="00224114">
        <w:t>Goals and Objectives related to local and regional economies.</w:t>
      </w:r>
    </w:p>
    <w:p w14:paraId="37166928" w14:textId="77777777" w:rsidR="002E2F2E" w:rsidRPr="00224114" w:rsidRDefault="002E2F2E" w:rsidP="00771FB6"/>
    <w:p w14:paraId="71CCE8C4" w14:textId="0E7994B5" w:rsidR="002E2F2E" w:rsidRPr="00224114" w:rsidRDefault="002E2F2E" w:rsidP="00771FB6">
      <w:r w:rsidRPr="00224114">
        <w:rPr>
          <w:b/>
        </w:rPr>
        <w:t>Issue:</w:t>
      </w:r>
      <w:r w:rsidRPr="00224114">
        <w:tab/>
        <w:t>You allege that the FEIS fails to identify the irreversible-irretrievable commitment of all resources impacted by the proposed actions and therefore violates 40 CFR 1502.16.</w:t>
      </w:r>
    </w:p>
    <w:p w14:paraId="41B17E6A" w14:textId="77777777" w:rsidR="00DB6E91" w:rsidRPr="00224114" w:rsidRDefault="002E2F2E" w:rsidP="00DB6E91">
      <w:r w:rsidRPr="00224114">
        <w:rPr>
          <w:rStyle w:val="blue"/>
          <w:b/>
          <w:color w:val="auto"/>
        </w:rPr>
        <w:t>Response:</w:t>
      </w:r>
      <w:r w:rsidRPr="00224114">
        <w:rPr>
          <w:rStyle w:val="blue"/>
          <w:color w:val="auto"/>
        </w:rPr>
        <w:t xml:space="preserve"> </w:t>
      </w:r>
      <w:r w:rsidR="00DB6E91" w:rsidRPr="00224114">
        <w:t xml:space="preserve">40 CFR 1502.16 requires discussion of irreversible or irretrievable commitments of resources, not a detailed analysis as you claim. 40 CFR 1500.4 specifically requires that agencies shall discuss only briefly issues other than significant ones. The FEIS specifically identifies “Issues Significant to the Proposed Action” (pp. 13-16), including several you brought forward in your objection including subsistence, timber supply and timber sale economics, watershed function, and wildlife habitat. </w:t>
      </w:r>
    </w:p>
    <w:p w14:paraId="514B820C" w14:textId="77777777" w:rsidR="00DB6E91" w:rsidRPr="00224114" w:rsidRDefault="00DB6E91" w:rsidP="00DB6E91">
      <w:r w:rsidRPr="00224114">
        <w:t>The irreversible or irretrievable resources not identified as issues significant to the proposed action are described in the Irreversible and Irretrievable Commitments of Resources section of Chapter 3 of the FEIS (pp. 61-62), and where applicable, within the environmental consequences for their respective resource subsections.</w:t>
      </w:r>
    </w:p>
    <w:p w14:paraId="31E9FADF" w14:textId="580B39B3" w:rsidR="007A778F" w:rsidRPr="00224114" w:rsidRDefault="007A778F" w:rsidP="00DB6E91">
      <w:r w:rsidRPr="00224114">
        <w:t>The FEIS fully complies with the requirement of 40 CFR 1502.16 to discuss irreversible or irretrievable commitments of resources and to focus discussion on significant issues as per 40 CFR 1500.4(c).</w:t>
      </w:r>
    </w:p>
    <w:p w14:paraId="784A09F6" w14:textId="77777777" w:rsidR="002E2F2E" w:rsidRPr="00224114" w:rsidRDefault="002E2F2E" w:rsidP="00771FB6"/>
    <w:p w14:paraId="4B6D111C" w14:textId="58C8E285" w:rsidR="00906172" w:rsidRPr="00224114" w:rsidRDefault="00906172" w:rsidP="00906172">
      <w:r w:rsidRPr="00224114">
        <w:rPr>
          <w:b/>
        </w:rPr>
        <w:t>Issue:</w:t>
      </w:r>
      <w:r w:rsidRPr="00224114">
        <w:t xml:space="preserve"> </w:t>
      </w:r>
      <w:r w:rsidRPr="00224114">
        <w:tab/>
        <w:t>You allege that</w:t>
      </w:r>
      <w:r w:rsidR="00DB6E91" w:rsidRPr="00224114">
        <w:t xml:space="preserve"> the</w:t>
      </w:r>
      <w:r w:rsidRPr="00224114">
        <w:t xml:space="preserve"> FEIS cumulative effects analysis is inadequate and violated NEPA because it fails to list individual past timber harvest and that </w:t>
      </w:r>
      <w:r w:rsidRPr="00224114">
        <w:rPr>
          <w:szCs w:val="20"/>
          <w:lang w:bidi="en-US"/>
        </w:rPr>
        <w:t>the direct, indirect and cumulative effects of both economic and environment must be disclosed. You further state that this analysis must include the</w:t>
      </w:r>
      <w:r w:rsidRPr="00224114">
        <w:t xml:space="preserve"> disclos</w:t>
      </w:r>
      <w:r w:rsidR="006A03DC" w:rsidRPr="00224114">
        <w:t>u</w:t>
      </w:r>
      <w:r w:rsidRPr="00224114">
        <w:t>r</w:t>
      </w:r>
      <w:r w:rsidR="006A03DC" w:rsidRPr="00224114">
        <w:t>e</w:t>
      </w:r>
      <w:r w:rsidRPr="00224114">
        <w:t xml:space="preserve"> of how much log export has been in play in the last decade and must reasonably submit a finding of how much log export is likely to be dispersed to foreign markets with this project.  </w:t>
      </w:r>
    </w:p>
    <w:p w14:paraId="78A60E86" w14:textId="6C4B57E1" w:rsidR="00DB6E91" w:rsidRPr="00224114" w:rsidRDefault="00906172" w:rsidP="007A778F">
      <w:pPr>
        <w:rPr>
          <w:rFonts w:eastAsia="Calibri"/>
        </w:rPr>
      </w:pPr>
      <w:r w:rsidRPr="00224114">
        <w:rPr>
          <w:rStyle w:val="blue"/>
          <w:b/>
          <w:color w:val="auto"/>
        </w:rPr>
        <w:t xml:space="preserve">Response: </w:t>
      </w:r>
      <w:r w:rsidRPr="00224114">
        <w:rPr>
          <w:rStyle w:val="blue"/>
          <w:color w:val="auto"/>
        </w:rPr>
        <w:t>NEPA does not require an exhaustive list of individual past projects that have occurred within the project area. Rather, it is the</w:t>
      </w:r>
      <w:r w:rsidR="007A778F" w:rsidRPr="00224114">
        <w:rPr>
          <w:rStyle w:val="blue"/>
          <w:color w:val="auto"/>
        </w:rPr>
        <w:t xml:space="preserve"> impacts from past actions </w:t>
      </w:r>
      <w:r w:rsidRPr="00224114">
        <w:rPr>
          <w:rStyle w:val="blue"/>
          <w:color w:val="auto"/>
        </w:rPr>
        <w:t>that need to be considered as part of the cumulative impact analysis.</w:t>
      </w:r>
      <w:r w:rsidR="007A778F" w:rsidRPr="00224114">
        <w:rPr>
          <w:rStyle w:val="blue"/>
          <w:color w:val="auto"/>
        </w:rPr>
        <w:t xml:space="preserve"> </w:t>
      </w:r>
      <w:r w:rsidR="007A778F" w:rsidRPr="00224114">
        <w:rPr>
          <w:lang w:bidi="en-US"/>
        </w:rPr>
        <w:t xml:space="preserve">The FEIS discusses the approach used for cumulative effects analysis at the beginning of the FEIS, (pp. 3-56 to 3-58) and then specifically discusses it by resource and issue throughout Chapter 3. </w:t>
      </w:r>
      <w:r w:rsidR="007A778F" w:rsidRPr="00224114">
        <w:rPr>
          <w:rFonts w:eastAsia="Calibri"/>
        </w:rPr>
        <w:t>The FEIS (p. 3-47) st</w:t>
      </w:r>
      <w:r w:rsidR="00DB6E91" w:rsidRPr="00224114">
        <w:rPr>
          <w:rFonts w:eastAsia="Calibri"/>
        </w:rPr>
        <w:t>ates;</w:t>
      </w:r>
    </w:p>
    <w:p w14:paraId="32364AFF" w14:textId="2E07F231" w:rsidR="007A778F" w:rsidRPr="00224114" w:rsidRDefault="007A778F" w:rsidP="00DB6E91">
      <w:pPr>
        <w:ind w:left="720"/>
        <w:rPr>
          <w:rFonts w:eastAsia="Calibri"/>
          <w:b/>
        </w:rPr>
      </w:pPr>
      <w:r w:rsidRPr="00224114">
        <w:rPr>
          <w:rFonts w:eastAsia="Calibri"/>
        </w:rPr>
        <w:t>“</w:t>
      </w:r>
      <w:r w:rsidR="00DB6E91" w:rsidRPr="00224114">
        <w:rPr>
          <w:rFonts w:eastAsia="Calibri"/>
        </w:rPr>
        <w:t>[P]</w:t>
      </w:r>
      <w:r w:rsidRPr="00224114">
        <w:rPr>
          <w:rFonts w:eastAsia="Calibri"/>
        </w:rPr>
        <w:t>rojects considered in cumulative effects analysis generally are physically located on the landscape, such as roads. The past projects combined with the natural environment, represent the affected environment that is described for each resource in this chapter. These projects include timber harvest, thinning of harvested stands, recreation</w:t>
      </w:r>
      <w:r w:rsidRPr="00224114">
        <w:rPr>
          <w:rFonts w:eastAsia="Calibri"/>
          <w:b/>
        </w:rPr>
        <w:t xml:space="preserve"> </w:t>
      </w:r>
      <w:r w:rsidRPr="00224114">
        <w:rPr>
          <w:rFonts w:eastAsia="Calibri"/>
        </w:rPr>
        <w:t>developments, road construction and log transfer facility (LTF) construction; stream restoration and enhancement, and highway construction.”</w:t>
      </w:r>
    </w:p>
    <w:p w14:paraId="67E7DAB9" w14:textId="77777777" w:rsidR="007A778F" w:rsidRPr="00224114" w:rsidRDefault="007A778F" w:rsidP="007A778F">
      <w:r w:rsidRPr="00224114">
        <w:t>The POWLLA FEIS and DEIS provide information and rationale that outline what information was considered within the cumulative effects analysis and is compliant with NEPA regulations.</w:t>
      </w:r>
    </w:p>
    <w:p w14:paraId="44BECCFD" w14:textId="77777777" w:rsidR="00906172" w:rsidRPr="00224114" w:rsidRDefault="00906172" w:rsidP="00771FB6">
      <w:pPr>
        <w:rPr>
          <w:rStyle w:val="blue"/>
        </w:rPr>
      </w:pPr>
    </w:p>
    <w:p w14:paraId="66CAE152" w14:textId="7E4C8F68" w:rsidR="0099000B" w:rsidRPr="00224114" w:rsidRDefault="0099000B" w:rsidP="0099000B">
      <w:r w:rsidRPr="00224114">
        <w:rPr>
          <w:rStyle w:val="blue"/>
          <w:b/>
          <w:color w:val="auto"/>
        </w:rPr>
        <w:t>Issue:</w:t>
      </w:r>
      <w:r w:rsidRPr="00224114">
        <w:rPr>
          <w:rStyle w:val="blue"/>
          <w:color w:val="auto"/>
        </w:rPr>
        <w:t xml:space="preserve"> </w:t>
      </w:r>
      <w:r w:rsidRPr="00224114">
        <w:tab/>
        <w:t>You allege that the Forest Service has not addressed context and intensity as required by 40 CFR 1508.27 because: (1) the agency has not assessed site-specific project conditions and impacts; (2) the agency has not evaluated site-specific management prescriptions and silvilcultural prescriptions; and (3) the agency has not used that information to inform the agency’s environmental analysis and justify its su</w:t>
      </w:r>
      <w:r w:rsidR="00DB6E91" w:rsidRPr="00224114">
        <w:t xml:space="preserve">bstantive decision-making. </w:t>
      </w:r>
    </w:p>
    <w:p w14:paraId="1032F7B6" w14:textId="77777777" w:rsidR="0099000B" w:rsidRPr="00224114" w:rsidRDefault="0099000B" w:rsidP="0099000B">
      <w:pPr>
        <w:rPr>
          <w:rFonts w:eastAsia="Calibri"/>
        </w:rPr>
      </w:pPr>
      <w:r w:rsidRPr="00224114">
        <w:rPr>
          <w:rStyle w:val="blue"/>
          <w:b/>
          <w:color w:val="auto"/>
        </w:rPr>
        <w:t>Response:</w:t>
      </w:r>
      <w:r w:rsidRPr="00224114">
        <w:rPr>
          <w:rStyle w:val="blue"/>
          <w:color w:val="auto"/>
        </w:rPr>
        <w:t xml:space="preserve"> </w:t>
      </w:r>
      <w:r w:rsidRPr="00224114">
        <w:t xml:space="preserve">NEPA requires that the agency should be able to demonstrate that it has taken a careful look at its actions and engaged in reasoned decision-making by using a </w:t>
      </w:r>
      <w:r w:rsidRPr="00224114">
        <w:rPr>
          <w:color w:val="000000"/>
          <w:kern w:val="22"/>
        </w:rPr>
        <w:t xml:space="preserve">reasonable and reliable process to identify potential environmental effects, and, if adverse impacts are found, use that information to explore options to reduce those impacts while still achieving the project’s objectives. </w:t>
      </w:r>
      <w:r w:rsidRPr="00224114">
        <w:rPr>
          <w:rFonts w:eastAsia="Calibri"/>
        </w:rPr>
        <w:t>The agency must also be able to explain clearly why the data it has collected and the methodologies it used were adequate to inform the public and the decision-maker of a project’s environmental effects.</w:t>
      </w:r>
    </w:p>
    <w:p w14:paraId="4DA37D63" w14:textId="77777777" w:rsidR="005062CB" w:rsidRPr="00224114" w:rsidRDefault="005062CB" w:rsidP="005062CB">
      <w:r w:rsidRPr="00224114">
        <w:rPr>
          <w:rFonts w:eastAsia="Calibri"/>
        </w:rPr>
        <w:t>The POWLLA Project is consistent with these requirements in that it</w:t>
      </w:r>
      <w:r w:rsidRPr="00224114">
        <w:t xml:space="preserve"> employs a condition-based management strategy, where implementation of specific actions (described in Activity Cards) varies according to clearly identified on-the-ground and site-specific conditions. This allows flexibility when new information or changed circumstances arising during implementation are discovered, while staying within the design parameters and legal sideboards of the decision’s implementation plan. This level of analysis meets the requirement of NEPA; although the analysis is not acre-by-acre (nor is that required), all the potential actions have been identified and analyzed at the maximum level of implementation allowable within each alternative.</w:t>
      </w:r>
    </w:p>
    <w:p w14:paraId="07742E9D" w14:textId="62B8E1CA" w:rsidR="00740CB3" w:rsidRPr="00224114" w:rsidRDefault="00740CB3" w:rsidP="00740CB3">
      <w:pPr>
        <w:rPr>
          <w:rFonts w:eastAsia="Calibri"/>
        </w:rPr>
      </w:pPr>
      <w:r w:rsidRPr="00224114">
        <w:rPr>
          <w:rFonts w:eastAsia="Calibri"/>
        </w:rPr>
        <w:t xml:space="preserve">The </w:t>
      </w:r>
      <w:r w:rsidR="005062CB" w:rsidRPr="00224114">
        <w:rPr>
          <w:rFonts w:eastAsia="Calibri"/>
        </w:rPr>
        <w:t>FEIS and draft ROD fully comply</w:t>
      </w:r>
      <w:r w:rsidRPr="00224114">
        <w:rPr>
          <w:rFonts w:eastAsia="Calibri"/>
        </w:rPr>
        <w:t xml:space="preserve"> with </w:t>
      </w:r>
      <w:r w:rsidR="005062CB" w:rsidRPr="00224114">
        <w:rPr>
          <w:rFonts w:eastAsia="Calibri"/>
        </w:rPr>
        <w:t>the requirements of NEPA to allow</w:t>
      </w:r>
      <w:r w:rsidRPr="00224114">
        <w:rPr>
          <w:rFonts w:eastAsia="Calibri"/>
        </w:rPr>
        <w:t xml:space="preserve"> for a reasoned choice between alternatives.</w:t>
      </w:r>
    </w:p>
    <w:p w14:paraId="0F2CE533" w14:textId="77777777" w:rsidR="0099000B" w:rsidRPr="00224114" w:rsidRDefault="0099000B" w:rsidP="00771FB6">
      <w:pPr>
        <w:rPr>
          <w:rStyle w:val="blue"/>
        </w:rPr>
      </w:pPr>
    </w:p>
    <w:p w14:paraId="486196CA" w14:textId="29917A0B" w:rsidR="00740CB3" w:rsidRPr="00224114" w:rsidRDefault="00740CB3" w:rsidP="00740CB3">
      <w:pPr>
        <w:rPr>
          <w:lang w:bidi="en-US"/>
        </w:rPr>
      </w:pPr>
      <w:r w:rsidRPr="00224114">
        <w:rPr>
          <w:rStyle w:val="blue"/>
          <w:b/>
          <w:color w:val="auto"/>
        </w:rPr>
        <w:t>Issue:</w:t>
      </w:r>
      <w:r w:rsidRPr="00224114">
        <w:rPr>
          <w:rStyle w:val="blue"/>
          <w:color w:val="auto"/>
        </w:rPr>
        <w:tab/>
        <w:t xml:space="preserve"> You state that </w:t>
      </w:r>
      <w:r w:rsidRPr="00224114">
        <w:rPr>
          <w:rStyle w:val="blue"/>
        </w:rPr>
        <w:t>t</w:t>
      </w:r>
      <w:r w:rsidRPr="00224114">
        <w:rPr>
          <w:lang w:bidi="en-US"/>
        </w:rPr>
        <w:t>here has been little if any science-based effor</w:t>
      </w:r>
      <w:r w:rsidR="005062CB" w:rsidRPr="00224114">
        <w:rPr>
          <w:lang w:bidi="en-US"/>
        </w:rPr>
        <w:t>t to ascertain and analyze the existing c</w:t>
      </w:r>
      <w:r w:rsidRPr="00224114">
        <w:rPr>
          <w:lang w:bidi="en-US"/>
        </w:rPr>
        <w:t>ondition, therefore desired conditions as per the Forest Plan cannot be ascertained in a meaningful site-specific manner.</w:t>
      </w:r>
    </w:p>
    <w:p w14:paraId="62E2A53D" w14:textId="5FBC9307" w:rsidR="00740CB3" w:rsidRPr="00224114" w:rsidRDefault="00740CB3" w:rsidP="00553027">
      <w:pPr>
        <w:rPr>
          <w:lang w:bidi="en-US"/>
        </w:rPr>
      </w:pPr>
      <w:r w:rsidRPr="00224114">
        <w:rPr>
          <w:rFonts w:asciiTheme="minorHAnsi" w:hAnsiTheme="minorHAnsi" w:cstheme="minorHAnsi"/>
          <w:b/>
          <w:lang w:bidi="en-US"/>
        </w:rPr>
        <w:t>Response:</w:t>
      </w:r>
      <w:r w:rsidRPr="00224114">
        <w:rPr>
          <w:rFonts w:asciiTheme="minorHAnsi" w:hAnsiTheme="minorHAnsi" w:cstheme="minorHAnsi"/>
          <w:lang w:bidi="en-US"/>
        </w:rPr>
        <w:t xml:space="preserve"> </w:t>
      </w:r>
      <w:r w:rsidR="00224114">
        <w:rPr>
          <w:lang w:bidi="en-US"/>
        </w:rPr>
        <w:t>The FEIS</w:t>
      </w:r>
      <w:r w:rsidRPr="00224114">
        <w:rPr>
          <w:lang w:bidi="en-US"/>
        </w:rPr>
        <w:t xml:space="preserve"> </w:t>
      </w:r>
      <w:r w:rsidR="00224114">
        <w:rPr>
          <w:lang w:bidi="en-US"/>
        </w:rPr>
        <w:t>(</w:t>
      </w:r>
      <w:r w:rsidRPr="00224114">
        <w:rPr>
          <w:lang w:bidi="en-US"/>
        </w:rPr>
        <w:t>pp. 3-56 to 3-60</w:t>
      </w:r>
      <w:r w:rsidR="00224114">
        <w:rPr>
          <w:lang w:bidi="en-US"/>
        </w:rPr>
        <w:t>)</w:t>
      </w:r>
      <w:r w:rsidRPr="00224114">
        <w:rPr>
          <w:lang w:bidi="en-US"/>
        </w:rPr>
        <w:t xml:space="preserve"> provides the rationale used to determine the affected environment for the project, and what information was used as a base for the effects analysis (direct, indirect, cumulative), including incomplete or unavailable information.</w:t>
      </w:r>
    </w:p>
    <w:p w14:paraId="2BE9F78B" w14:textId="6A8AE78B" w:rsidR="00740CB3" w:rsidRPr="00224114" w:rsidRDefault="00740CB3" w:rsidP="00553027">
      <w:pPr>
        <w:rPr>
          <w:lang w:bidi="en-US"/>
        </w:rPr>
      </w:pPr>
      <w:r w:rsidRPr="00224114">
        <w:rPr>
          <w:lang w:bidi="en-US"/>
        </w:rPr>
        <w:t>Th</w:t>
      </w:r>
      <w:r w:rsidR="005062CB" w:rsidRPr="00224114">
        <w:rPr>
          <w:lang w:bidi="en-US"/>
        </w:rPr>
        <w:t>e approach taken to define the affected e</w:t>
      </w:r>
      <w:r w:rsidRPr="00224114">
        <w:rPr>
          <w:lang w:bidi="en-US"/>
        </w:rPr>
        <w:t xml:space="preserve">nvironment for this project is consistent with 40 CFR 1502.15.  </w:t>
      </w:r>
    </w:p>
    <w:p w14:paraId="49CA55EE" w14:textId="77777777" w:rsidR="00740CB3" w:rsidRPr="00224114" w:rsidRDefault="00740CB3" w:rsidP="00771FB6">
      <w:pPr>
        <w:rPr>
          <w:lang w:bidi="en-US"/>
        </w:rPr>
      </w:pPr>
    </w:p>
    <w:p w14:paraId="03B5B008" w14:textId="77777777" w:rsidR="005062CB" w:rsidRPr="00224114" w:rsidRDefault="005062CB" w:rsidP="005062CB">
      <w:pPr>
        <w:rPr>
          <w:rStyle w:val="blue"/>
        </w:rPr>
      </w:pPr>
      <w:r w:rsidRPr="00224114">
        <w:rPr>
          <w:rStyle w:val="blue"/>
          <w:b/>
          <w:color w:val="auto"/>
        </w:rPr>
        <w:t>Issue:</w:t>
      </w:r>
      <w:r w:rsidRPr="00224114">
        <w:rPr>
          <w:rStyle w:val="blue"/>
          <w:color w:val="auto"/>
        </w:rPr>
        <w:t xml:space="preserve"> </w:t>
      </w:r>
      <w:r w:rsidRPr="00224114">
        <w:t>You allege that POWLLA violates the Council on Environmental Quality’s regulation at 40 CFR 1502.13 (Purpose and Need) by not demonstrating a finding of the existence of an underlying need that justifies the proposal to act if timber harvested is not processed locally.</w:t>
      </w:r>
    </w:p>
    <w:p w14:paraId="6C2ED6AE" w14:textId="33838E69" w:rsidR="005062CB" w:rsidRPr="00224114" w:rsidRDefault="005062CB" w:rsidP="005062CB">
      <w:r w:rsidRPr="00224114">
        <w:rPr>
          <w:b/>
        </w:rPr>
        <w:t>Response:</w:t>
      </w:r>
      <w:r w:rsidRPr="00224114">
        <w:t xml:space="preserve"> The purpose and need for the project is clearly stated in the POWLLA FEIS (Summary, p. ii) and in Chapter 1 (pp. 1-4 through 1-6). Further, the project is consistent with the Forest Plan FEIS Purpose and Need (pp. 1-7 and 1-8) and the relationship to the Forest Plan is clearly a</w:t>
      </w:r>
      <w:r w:rsidR="00224114" w:rsidRPr="00224114">
        <w:t>rticulated in this document (</w:t>
      </w:r>
      <w:r w:rsidRPr="00224114">
        <w:t>FEIS pp. 1-7 and 1-8).</w:t>
      </w:r>
    </w:p>
    <w:p w14:paraId="5BEEBEC1" w14:textId="77777777" w:rsidR="005062CB" w:rsidRPr="00224114" w:rsidRDefault="005062CB" w:rsidP="005062CB">
      <w:r w:rsidRPr="00224114">
        <w:t>The POWLLA FEIS fully complies with 40 CFR 1502.13 and displays a purpose and need that is legally sufficient to propose the alternatives, including the proposed action. The purpose and need is well documented and supported.</w:t>
      </w:r>
    </w:p>
    <w:p w14:paraId="5EA5C4C9" w14:textId="5F9C8997" w:rsidR="00740CB3" w:rsidRPr="00224114" w:rsidRDefault="00740CB3" w:rsidP="00740CB3">
      <w:pPr>
        <w:rPr>
          <w:rFonts w:eastAsia="Times New Roman" w:cs="Times New Roman"/>
          <w:szCs w:val="24"/>
        </w:rPr>
      </w:pPr>
      <w:r w:rsidRPr="00224114">
        <w:rPr>
          <w:b/>
        </w:rPr>
        <w:t>Issue:</w:t>
      </w:r>
      <w:r w:rsidRPr="00224114">
        <w:t xml:space="preserve"> </w:t>
      </w:r>
      <w:r w:rsidR="004C40DB" w:rsidRPr="00224114">
        <w:rPr>
          <w:rFonts w:eastAsia="Times New Roman" w:cs="Times New Roman"/>
          <w:szCs w:val="24"/>
        </w:rPr>
        <w:tab/>
      </w:r>
      <w:r w:rsidR="005062CB" w:rsidRPr="00224114">
        <w:rPr>
          <w:rFonts w:eastAsia="Times New Roman" w:cs="Times New Roman"/>
          <w:szCs w:val="24"/>
        </w:rPr>
        <w:t>You allege that the FEIS fails to identify indicator species, monitor their population trends, and evaluate each project alternative in terms of the impact on both indicator species habitat and indicator species populations as required by the National Forest Management Act (</w:t>
      </w:r>
      <w:r w:rsidRPr="00224114">
        <w:rPr>
          <w:rFonts w:eastAsia="Times New Roman" w:cs="Times New Roman"/>
          <w:szCs w:val="24"/>
        </w:rPr>
        <w:t>NFMA</w:t>
      </w:r>
      <w:r w:rsidR="005062CB" w:rsidRPr="00224114">
        <w:rPr>
          <w:rFonts w:eastAsia="Times New Roman" w:cs="Times New Roman"/>
          <w:szCs w:val="24"/>
        </w:rPr>
        <w:t>)</w:t>
      </w:r>
      <w:r w:rsidRPr="00224114">
        <w:rPr>
          <w:rFonts w:eastAsia="Times New Roman" w:cs="Times New Roman"/>
          <w:szCs w:val="24"/>
        </w:rPr>
        <w:t>.</w:t>
      </w:r>
    </w:p>
    <w:p w14:paraId="187B29CA" w14:textId="77777777" w:rsidR="004C40DB" w:rsidRPr="00224114" w:rsidRDefault="00740CB3" w:rsidP="004C40DB">
      <w:r w:rsidRPr="00224114">
        <w:rPr>
          <w:rFonts w:eastAsia="Times New Roman" w:cs="Times New Roman"/>
          <w:b/>
          <w:szCs w:val="24"/>
        </w:rPr>
        <w:t>Response:</w:t>
      </w:r>
      <w:r w:rsidR="004C40DB" w:rsidRPr="00224114">
        <w:t xml:space="preserve"> Terrestrial MIS analyzed within the FEIS include black bear, marten, Sitka black-tailed deer, gray wolf (Alexander Archipelago wolf), and brown creeper. The 2014 Tongass National Forest Monitoring and Evaluation Report documents that these MIS are known to occur within the project area and are primarily associated with the spruce and hemlock forests of Southeast Alaska, a forest type that represent 98 percent of the productive old-growth (POG) forests of the Tongass (pp. 1-10). </w:t>
      </w:r>
    </w:p>
    <w:p w14:paraId="47FEF8C2" w14:textId="081B3A40" w:rsidR="004C40DB" w:rsidRPr="00224114" w:rsidRDefault="004C40DB" w:rsidP="004C40DB">
      <w:r w:rsidRPr="00224114">
        <w:t xml:space="preserve">Consistent with the MIS identification and monitoring expectations and utilizing monitoring data and other information from state, federal and public sources. </w:t>
      </w:r>
      <w:r w:rsidR="00F9532C" w:rsidRPr="00224114">
        <w:t>Monitoring</w:t>
      </w:r>
      <w:r w:rsidRPr="00224114">
        <w:t xml:space="preserve"> reports for MIS were developed (</w:t>
      </w:r>
      <w:r w:rsidR="00F9532C" w:rsidRPr="00224114">
        <w:t>2014 Tongass National Forest Monitoring and Evaluation Report</w:t>
      </w:r>
      <w:r w:rsidRPr="00224114">
        <w:t xml:space="preserve">). Proposed changes to the distribution and abundance of </w:t>
      </w:r>
      <w:r w:rsidR="00F9532C" w:rsidRPr="00224114">
        <w:t xml:space="preserve">productive old growth, high-value productive old growth, and size-density class 6/7 </w:t>
      </w:r>
      <w:r w:rsidRPr="00224114">
        <w:t>HPOG as well as non-winter, average and deep snow habitats are discussed throughout Chapter 3 in the FEIS and their potential effects on dependent MIS were analyzed (FEIS, pp. 3-170 through 3-237).</w:t>
      </w:r>
    </w:p>
    <w:p w14:paraId="1B9A042B" w14:textId="307A6902" w:rsidR="00E50161" w:rsidRPr="00224114" w:rsidRDefault="00F9532C" w:rsidP="004C40DB">
      <w:r w:rsidRPr="00224114">
        <w:t>The National Forest Management Act</w:t>
      </w:r>
      <w:r w:rsidR="00E50161" w:rsidRPr="00224114">
        <w:t xml:space="preserve"> requires forest plans to “provide for the diversity of plant and animal communities based on the suitability and capability of the specific land area.” This is achieved through implementation of the Conservation Strategy and Forest Plan direction.</w:t>
      </w:r>
    </w:p>
    <w:p w14:paraId="7E9EA95A" w14:textId="535CC71B" w:rsidR="004C40DB" w:rsidRPr="00224114" w:rsidRDefault="004C40DB" w:rsidP="004C40DB">
      <w:pPr>
        <w:rPr>
          <w:rFonts w:eastAsia="Times New Roman" w:cs="Times New Roman"/>
          <w:szCs w:val="24"/>
        </w:rPr>
      </w:pPr>
      <w:r w:rsidRPr="00224114">
        <w:rPr>
          <w:rFonts w:eastAsia="Times New Roman" w:cs="Times New Roman"/>
          <w:szCs w:val="24"/>
        </w:rPr>
        <w:t>The analys</w:t>
      </w:r>
      <w:r w:rsidR="00F9532C" w:rsidRPr="00224114">
        <w:rPr>
          <w:rFonts w:eastAsia="Times New Roman" w:cs="Times New Roman"/>
          <w:szCs w:val="24"/>
        </w:rPr>
        <w:t>is of effects to management indicator s</w:t>
      </w:r>
      <w:r w:rsidRPr="00224114">
        <w:rPr>
          <w:rFonts w:eastAsia="Times New Roman" w:cs="Times New Roman"/>
          <w:szCs w:val="24"/>
        </w:rPr>
        <w:t xml:space="preserve">pecies and their important habitats provided </w:t>
      </w:r>
      <w:r w:rsidR="004D2CC0" w:rsidRPr="00224114">
        <w:rPr>
          <w:rFonts w:eastAsia="Times New Roman" w:cs="Times New Roman"/>
          <w:szCs w:val="24"/>
        </w:rPr>
        <w:t xml:space="preserve">in </w:t>
      </w:r>
      <w:r w:rsidRPr="00224114">
        <w:rPr>
          <w:rFonts w:eastAsia="Times New Roman" w:cs="Times New Roman"/>
          <w:szCs w:val="24"/>
        </w:rPr>
        <w:t>the FEIS and supporting record is extensive, thorough and consistent with applicable rules, but is missing conclusory statements to clearly summarize how these effects would or would not contribute to population trends for these species</w:t>
      </w:r>
      <w:r w:rsidR="00553027" w:rsidRPr="00224114">
        <w:rPr>
          <w:rFonts w:eastAsia="Times New Roman" w:cs="Times New Roman"/>
          <w:szCs w:val="24"/>
        </w:rPr>
        <w:t>, therefore I am issuing the following instructions.</w:t>
      </w:r>
      <w:r w:rsidRPr="00224114">
        <w:rPr>
          <w:rFonts w:eastAsia="Times New Roman" w:cs="Times New Roman"/>
          <w:szCs w:val="24"/>
        </w:rPr>
        <w:t xml:space="preserve"> </w:t>
      </w:r>
    </w:p>
    <w:p w14:paraId="388520EB" w14:textId="2E7D4B18" w:rsidR="00553027" w:rsidRPr="00224114" w:rsidRDefault="00553027" w:rsidP="00553027">
      <w:pPr>
        <w:rPr>
          <w:rFonts w:eastAsia="Calibri"/>
        </w:rPr>
      </w:pPr>
      <w:r w:rsidRPr="00224114">
        <w:rPr>
          <w:b/>
        </w:rPr>
        <w:t xml:space="preserve">Instruction: </w:t>
      </w:r>
      <w:r w:rsidRPr="00224114">
        <w:t xml:space="preserve">In order to clarify that the FEIS and ROD are consistent with the Forest Plan the </w:t>
      </w:r>
      <w:r w:rsidR="00DB6E91" w:rsidRPr="00224114">
        <w:t xml:space="preserve">Responsible Official </w:t>
      </w:r>
      <w:r w:rsidRPr="00224114">
        <w:t xml:space="preserve"> should </w:t>
      </w:r>
      <w:r w:rsidRPr="00224114">
        <w:rPr>
          <w:rFonts w:eastAsia="Calibri"/>
        </w:rPr>
        <w:t xml:space="preserve">provide conclusory statements for black bear, marten, Sitka black-tailed deer, gray wolf, and brown creeper as to how the proposed changes in habitats specific to each MIS would or would not contribute to population trends for these species and what that contribution would be (e.g. contribute to stable population, upward trend, downward trend) and concise rational supporting that conclusion. A summary table would also assist in providing rationale and clarity. </w:t>
      </w:r>
    </w:p>
    <w:p w14:paraId="27D3E9B1" w14:textId="77777777" w:rsidR="004C40DB" w:rsidRPr="00224114" w:rsidRDefault="004C40DB" w:rsidP="004C40DB"/>
    <w:p w14:paraId="07B8F8DB" w14:textId="77777777" w:rsidR="004C40DB" w:rsidRPr="00224114" w:rsidRDefault="004C40DB" w:rsidP="004C40DB">
      <w:r w:rsidRPr="00224114">
        <w:rPr>
          <w:b/>
        </w:rPr>
        <w:t xml:space="preserve">Issue: </w:t>
      </w:r>
      <w:r w:rsidRPr="00224114">
        <w:rPr>
          <w:b/>
        </w:rPr>
        <w:tab/>
      </w:r>
      <w:r w:rsidRPr="00224114">
        <w:t>You allege that the FEIS violates NEPA because the Forest Service fails to analyze adverse impacts to the Alexander Archipelago wolf.</w:t>
      </w:r>
    </w:p>
    <w:p w14:paraId="5E2F9CF5" w14:textId="3A6F88A7" w:rsidR="004C40DB" w:rsidRPr="00224114" w:rsidRDefault="004C40DB" w:rsidP="004C40DB">
      <w:pPr>
        <w:rPr>
          <w:rFonts w:eastAsia="Times New Roman" w:cs="Times New Roman"/>
          <w:szCs w:val="24"/>
        </w:rPr>
      </w:pPr>
      <w:r w:rsidRPr="00224114">
        <w:rPr>
          <w:rFonts w:eastAsia="Times New Roman" w:cs="Times New Roman"/>
          <w:b/>
          <w:szCs w:val="24"/>
        </w:rPr>
        <w:t>Response:</w:t>
      </w:r>
      <w:r w:rsidRPr="00224114">
        <w:rPr>
          <w:rFonts w:eastAsia="Times New Roman" w:cs="Times New Roman"/>
          <w:szCs w:val="24"/>
        </w:rPr>
        <w:t xml:space="preserve"> </w:t>
      </w:r>
      <w:r w:rsidR="00224114">
        <w:t xml:space="preserve">The FEIS (pp. 170 through </w:t>
      </w:r>
      <w:r w:rsidRPr="00224114">
        <w:t xml:space="preserve">236) and supporting records provides analysis of ongoing and proposed impacts to the Alexander Archipelago wolf, including those outside the responsibility or authority of the US Forest Service as well as identifying conservation recommendations provided within the Interagency Wolf Habitat Management Program. The </w:t>
      </w:r>
      <w:r w:rsidR="00224114">
        <w:rPr>
          <w:rFonts w:eastAsia="Times New Roman" w:cs="Times New Roman"/>
          <w:szCs w:val="24"/>
        </w:rPr>
        <w:t xml:space="preserve">FEIS (pp. 228 through </w:t>
      </w:r>
      <w:r w:rsidRPr="00224114">
        <w:rPr>
          <w:rFonts w:eastAsia="Times New Roman" w:cs="Times New Roman"/>
          <w:szCs w:val="24"/>
        </w:rPr>
        <w:t>236) focus</w:t>
      </w:r>
      <w:r w:rsidR="00F9532C" w:rsidRPr="00224114">
        <w:rPr>
          <w:rFonts w:eastAsia="Times New Roman" w:cs="Times New Roman"/>
          <w:szCs w:val="24"/>
        </w:rPr>
        <w:t>es</w:t>
      </w:r>
      <w:r w:rsidRPr="00224114">
        <w:rPr>
          <w:rFonts w:eastAsia="Times New Roman" w:cs="Times New Roman"/>
          <w:szCs w:val="24"/>
        </w:rPr>
        <w:t xml:space="preserve"> specifically on the threats to wolves related to harvest by hunter</w:t>
      </w:r>
      <w:r w:rsidR="00F9532C" w:rsidRPr="00224114">
        <w:rPr>
          <w:rFonts w:eastAsia="Times New Roman" w:cs="Times New Roman"/>
          <w:szCs w:val="24"/>
        </w:rPr>
        <w:t>s</w:t>
      </w:r>
      <w:r w:rsidRPr="00224114">
        <w:rPr>
          <w:rFonts w:eastAsia="Times New Roman" w:cs="Times New Roman"/>
          <w:szCs w:val="24"/>
        </w:rPr>
        <w:t xml:space="preserve"> and trappers and the relationship of road densities to wolf mortality, with Figure 8, Tables 49, 50 and 51 providing visual and tabular references. </w:t>
      </w:r>
    </w:p>
    <w:p w14:paraId="04A43C76" w14:textId="2A8E5A90" w:rsidR="00F9532C" w:rsidRPr="00224114" w:rsidRDefault="00F9532C" w:rsidP="00F9532C">
      <w:pPr>
        <w:rPr>
          <w:rStyle w:val="blue"/>
          <w:rFonts w:cstheme="minorHAnsi"/>
          <w:color w:val="000000" w:themeColor="text1"/>
        </w:rPr>
      </w:pPr>
      <w:r w:rsidRPr="00224114">
        <w:t>The Forest Plan determined that with the Conservation Strategy in place. Even with full implementation of the Forest Plan, there is a moderate to very high likelihood of maintaining viable, well-distributed populations expected.</w:t>
      </w:r>
    </w:p>
    <w:p w14:paraId="5897140C" w14:textId="77777777" w:rsidR="004C40DB" w:rsidRPr="00224114" w:rsidRDefault="004C40DB" w:rsidP="004C40DB">
      <w:pPr>
        <w:rPr>
          <w:rFonts w:eastAsia="Times New Roman" w:cs="Times New Roman"/>
          <w:szCs w:val="24"/>
        </w:rPr>
      </w:pPr>
      <w:r w:rsidRPr="00224114">
        <w:rPr>
          <w:rFonts w:eastAsia="Times New Roman" w:cs="Times New Roman"/>
          <w:szCs w:val="24"/>
        </w:rPr>
        <w:t xml:space="preserve">The analysis of past, present and potential future impacts to the Alexander Archipelago wolf and associated habitat conditions is consistent with applicable direction. </w:t>
      </w:r>
    </w:p>
    <w:p w14:paraId="36E90493" w14:textId="77777777" w:rsidR="004C40DB" w:rsidRPr="00224114" w:rsidRDefault="004C40DB" w:rsidP="004C40DB">
      <w:pPr>
        <w:rPr>
          <w:rFonts w:eastAsia="Times New Roman" w:cs="Times New Roman"/>
          <w:szCs w:val="24"/>
        </w:rPr>
      </w:pPr>
    </w:p>
    <w:p w14:paraId="24614AAE" w14:textId="56DF5245" w:rsidR="004C40DB" w:rsidRPr="00224114" w:rsidRDefault="004C40DB" w:rsidP="004C40DB">
      <w:r w:rsidRPr="00224114">
        <w:rPr>
          <w:b/>
        </w:rPr>
        <w:t>Issue:</w:t>
      </w:r>
      <w:r w:rsidRPr="00224114">
        <w:t xml:space="preserve"> </w:t>
      </w:r>
      <w:r w:rsidRPr="00224114">
        <w:tab/>
        <w:t>You allege that the Forest Service fails to t</w:t>
      </w:r>
      <w:r w:rsidR="00F9532C" w:rsidRPr="00224114">
        <w:t>ake the requisite “hard look” at</w:t>
      </w:r>
      <w:r w:rsidRPr="00224114">
        <w:t xml:space="preserve"> the cumulative effects on the black bear population because of bear den destruction during timber sales and the recent effects of over hunting these mammals. </w:t>
      </w:r>
      <w:r w:rsidR="00F9532C" w:rsidRPr="00224114">
        <w:t>You stated that black bears are a management indicator s</w:t>
      </w:r>
      <w:r w:rsidRPr="00224114">
        <w:t>pecies and formerly had protection of their dens by the Forest Plan.</w:t>
      </w:r>
    </w:p>
    <w:p w14:paraId="437AAF6E" w14:textId="0BCF3CB1" w:rsidR="004C40DB" w:rsidRPr="00224114" w:rsidRDefault="004C40DB" w:rsidP="004C40DB">
      <w:r w:rsidRPr="00224114">
        <w:rPr>
          <w:rFonts w:eastAsia="Times New Roman" w:cs="Times New Roman"/>
          <w:b/>
          <w:szCs w:val="24"/>
        </w:rPr>
        <w:t>Response:</w:t>
      </w:r>
      <w:r w:rsidRPr="00224114">
        <w:rPr>
          <w:rFonts w:eastAsia="Times New Roman" w:cs="Times New Roman"/>
          <w:szCs w:val="24"/>
        </w:rPr>
        <w:t xml:space="preserve"> </w:t>
      </w:r>
      <w:r w:rsidRPr="00224114">
        <w:t xml:space="preserve">The Forest Plan has never included direction for buffers on black bear dens; however, since dens are often a cavity in a tree the den trees may be protected under the reserve tree/cavity nesting standard and guideline which says to provide habitat for cavity-nesting wildlife species and is not specific to any type of wildlife. In addition, the Forest Plan provides old-growth no-harvest buffers along Class I, II, and III streams and assumes that the transition from old-growth harvest to young-growth harvest </w:t>
      </w:r>
      <w:r w:rsidR="00F9532C" w:rsidRPr="00224114">
        <w:t xml:space="preserve">would coincided with the completion </w:t>
      </w:r>
      <w:r w:rsidRPr="00224114">
        <w:t xml:space="preserve">of the POWLLA Project and therefore future harvest should have minimal effect to black bears. (FEIS Appendix D, p. D-56) The </w:t>
      </w:r>
      <w:r w:rsidR="008E5468" w:rsidRPr="00224114">
        <w:t>P</w:t>
      </w:r>
      <w:r w:rsidRPr="00224114">
        <w:t>roject also includes large and medium old-growth reserves which are not suitable for old-growth harvest.</w:t>
      </w:r>
    </w:p>
    <w:p w14:paraId="15798F07" w14:textId="2F988135" w:rsidR="008E5468" w:rsidRPr="00224114" w:rsidRDefault="008E5468" w:rsidP="008E5468">
      <w:pPr>
        <w:rPr>
          <w:rStyle w:val="blue"/>
          <w:rFonts w:cstheme="minorHAnsi"/>
          <w:color w:val="000000" w:themeColor="text1"/>
        </w:rPr>
      </w:pPr>
      <w:r w:rsidRPr="00224114">
        <w:t>The Forest Plan determined that with the Conservation Strategy in place, even with full implementation of the Forest Plan, there is a moderate to very high likelihood of maintaining viable, well-distributed populations expected.</w:t>
      </w:r>
    </w:p>
    <w:p w14:paraId="7370BC62" w14:textId="46F7E853" w:rsidR="008E5468" w:rsidRPr="00224114" w:rsidRDefault="008E5468" w:rsidP="008E5468">
      <w:r w:rsidRPr="00224114">
        <w:t xml:space="preserve">The analysis provided within the FEIS and supporting documents based on activities proposed within the POWLAA demonstrate that a hard look was applied consistent with applicable rules. </w:t>
      </w:r>
    </w:p>
    <w:p w14:paraId="6D403949" w14:textId="77777777" w:rsidR="000C5B29" w:rsidRPr="00224114" w:rsidRDefault="000C5B29" w:rsidP="000C5B29">
      <w:pPr>
        <w:pStyle w:val="Heading2"/>
      </w:pPr>
      <w:r w:rsidRPr="00224114">
        <w:t xml:space="preserve">Recommendation </w:t>
      </w:r>
    </w:p>
    <w:p w14:paraId="53E28DBE" w14:textId="77777777" w:rsidR="000C5B29" w:rsidRPr="00224114" w:rsidRDefault="000C5B29" w:rsidP="000C5B29">
      <w:r w:rsidRPr="00224114">
        <w:t>If incidental damage to black bear dens becomes an area specific concern, protections/considerations for avoidance and protective buffers could be added to the Activity Cards.</w:t>
      </w:r>
    </w:p>
    <w:p w14:paraId="3564A557" w14:textId="77777777" w:rsidR="000C5B29" w:rsidRPr="00224114" w:rsidRDefault="000C5B29" w:rsidP="000C5B29">
      <w:pPr>
        <w:rPr>
          <w:b/>
        </w:rPr>
      </w:pPr>
    </w:p>
    <w:p w14:paraId="7127C2FC" w14:textId="53A351FC" w:rsidR="000C5B29" w:rsidRPr="00224114" w:rsidRDefault="000C5B29" w:rsidP="000C5B29">
      <w:pPr>
        <w:rPr>
          <w:b/>
        </w:rPr>
      </w:pPr>
      <w:r w:rsidRPr="00224114">
        <w:rPr>
          <w:b/>
        </w:rPr>
        <w:t>SUMM</w:t>
      </w:r>
      <w:r w:rsidR="00A8718C" w:rsidRPr="00224114">
        <w:rPr>
          <w:b/>
        </w:rPr>
        <w:t>A</w:t>
      </w:r>
      <w:r w:rsidRPr="00224114">
        <w:rPr>
          <w:b/>
        </w:rPr>
        <w:t>RY:</w:t>
      </w:r>
    </w:p>
    <w:p w14:paraId="16EE2B07" w14:textId="77777777" w:rsidR="008E5468" w:rsidRDefault="008E5468" w:rsidP="008E5468">
      <w:r w:rsidRPr="00224114">
        <w:t>I have reviewed your objections and note that your concerns have been generally addressed in the FEIS.  My review finds the Project complies with all applicable laws and the Forest Plan. However, during my review of the FEIS I noted one instruction to correct a minor error in the FEIS. My review constitutes the final administrative determination of the Department of Agriculture; no further review from any other Forest Service or Department of Agriculture official of my written response to your objection is available (36 CFR 218.11(b)(2)). The Responsible Official may sign the Record of Decision for this project once all instructions are completed.</w:t>
      </w:r>
    </w:p>
    <w:p w14:paraId="2B812962" w14:textId="77777777" w:rsidR="006C0265" w:rsidRDefault="006C0265" w:rsidP="006C0265"/>
    <w:p w14:paraId="42FAD02D" w14:textId="77777777" w:rsidR="002E4D39" w:rsidRDefault="002E4D39" w:rsidP="008951CC"/>
    <w:p w14:paraId="4B84B384" w14:textId="35634DCF" w:rsidR="002E4D39" w:rsidRPr="0011700E" w:rsidRDefault="002E4D39" w:rsidP="008951CC"/>
    <w:sectPr w:rsidR="002E4D39" w:rsidRPr="0011700E">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535244" w14:textId="77777777" w:rsidR="00B24D28" w:rsidRDefault="00B24D28" w:rsidP="00381931">
      <w:pPr>
        <w:spacing w:after="0"/>
      </w:pPr>
      <w:r>
        <w:separator/>
      </w:r>
    </w:p>
  </w:endnote>
  <w:endnote w:type="continuationSeparator" w:id="0">
    <w:p w14:paraId="2114AB26" w14:textId="77777777" w:rsidR="00B24D28" w:rsidRDefault="00B24D28" w:rsidP="003819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9875680"/>
      <w:docPartObj>
        <w:docPartGallery w:val="Page Numbers (Bottom of Page)"/>
        <w:docPartUnique/>
      </w:docPartObj>
    </w:sdtPr>
    <w:sdtEndPr>
      <w:rPr>
        <w:color w:val="7F7F7F" w:themeColor="background1" w:themeShade="7F"/>
        <w:spacing w:val="60"/>
      </w:rPr>
    </w:sdtEndPr>
    <w:sdtContent>
      <w:p w14:paraId="63D137CF" w14:textId="5E9AD967" w:rsidR="00553027" w:rsidRDefault="0055302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B24D28" w:rsidRPr="00B24D28">
          <w:rPr>
            <w:b/>
            <w:bCs/>
            <w:noProof/>
          </w:rPr>
          <w:t>1</w:t>
        </w:r>
        <w:r>
          <w:rPr>
            <w:b/>
            <w:bCs/>
            <w:noProof/>
          </w:rPr>
          <w:fldChar w:fldCharType="end"/>
        </w:r>
        <w:r>
          <w:rPr>
            <w:b/>
            <w:bCs/>
          </w:rPr>
          <w:t xml:space="preserve"> | </w:t>
        </w:r>
        <w:r>
          <w:rPr>
            <w:color w:val="7F7F7F" w:themeColor="background1" w:themeShade="7F"/>
            <w:spacing w:val="60"/>
          </w:rPr>
          <w:t>Page</w:t>
        </w:r>
      </w:p>
    </w:sdtContent>
  </w:sdt>
  <w:p w14:paraId="55E5FAAC" w14:textId="77777777" w:rsidR="002E4D39" w:rsidRDefault="002E4D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801BA7" w14:textId="77777777" w:rsidR="00B24D28" w:rsidRDefault="00B24D28" w:rsidP="00381931">
      <w:pPr>
        <w:spacing w:after="0"/>
      </w:pPr>
      <w:r>
        <w:separator/>
      </w:r>
    </w:p>
  </w:footnote>
  <w:footnote w:type="continuationSeparator" w:id="0">
    <w:p w14:paraId="18283A15" w14:textId="77777777" w:rsidR="00B24D28" w:rsidRDefault="00B24D28" w:rsidP="00381931">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724A52" w14:textId="77777777" w:rsidR="00381931" w:rsidRDefault="00381931">
    <w:pPr>
      <w:pStyle w:val="Header"/>
    </w:pPr>
    <w:r>
      <w:t>Objection</w:t>
    </w:r>
    <w:r w:rsidR="00C329E3">
      <w:t xml:space="preserve"> Response POWLLA # 19-10-00-0</w:t>
    </w:r>
    <w:r w:rsidR="00FB148A">
      <w:t>020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80032B3"/>
    <w:multiLevelType w:val="hybridMultilevel"/>
    <w:tmpl w:val="E4C642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A14719D"/>
    <w:multiLevelType w:val="hybridMultilevel"/>
    <w:tmpl w:val="DA3E0D5C"/>
    <w:lvl w:ilvl="0" w:tplc="7F8207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2940"/>
    <w:rsid w:val="000037C7"/>
    <w:rsid w:val="00043C21"/>
    <w:rsid w:val="00076F59"/>
    <w:rsid w:val="00085F33"/>
    <w:rsid w:val="000C5B29"/>
    <w:rsid w:val="000F6A0B"/>
    <w:rsid w:val="0011700E"/>
    <w:rsid w:val="001A35C6"/>
    <w:rsid w:val="00224114"/>
    <w:rsid w:val="00273407"/>
    <w:rsid w:val="002A40A2"/>
    <w:rsid w:val="002A4DA3"/>
    <w:rsid w:val="002E2F2E"/>
    <w:rsid w:val="002E4D39"/>
    <w:rsid w:val="00381931"/>
    <w:rsid w:val="0039032C"/>
    <w:rsid w:val="004119F6"/>
    <w:rsid w:val="00470104"/>
    <w:rsid w:val="0047257E"/>
    <w:rsid w:val="004A2A92"/>
    <w:rsid w:val="004A488A"/>
    <w:rsid w:val="004C40DB"/>
    <w:rsid w:val="004D2CC0"/>
    <w:rsid w:val="005062CB"/>
    <w:rsid w:val="00511EA5"/>
    <w:rsid w:val="00524F0C"/>
    <w:rsid w:val="00553027"/>
    <w:rsid w:val="005A66E7"/>
    <w:rsid w:val="0060254B"/>
    <w:rsid w:val="006A03DC"/>
    <w:rsid w:val="006A2BE6"/>
    <w:rsid w:val="006C0265"/>
    <w:rsid w:val="006E41DD"/>
    <w:rsid w:val="00740CB3"/>
    <w:rsid w:val="00750DCD"/>
    <w:rsid w:val="00771FB6"/>
    <w:rsid w:val="00793ECA"/>
    <w:rsid w:val="007A267A"/>
    <w:rsid w:val="007A67DE"/>
    <w:rsid w:val="007A778F"/>
    <w:rsid w:val="007F2CC6"/>
    <w:rsid w:val="007F33A3"/>
    <w:rsid w:val="007F610A"/>
    <w:rsid w:val="0084032D"/>
    <w:rsid w:val="0089492E"/>
    <w:rsid w:val="008951CC"/>
    <w:rsid w:val="008E5468"/>
    <w:rsid w:val="00906172"/>
    <w:rsid w:val="00942940"/>
    <w:rsid w:val="00946130"/>
    <w:rsid w:val="00973DCC"/>
    <w:rsid w:val="0099000B"/>
    <w:rsid w:val="00991961"/>
    <w:rsid w:val="00992B5F"/>
    <w:rsid w:val="00A25399"/>
    <w:rsid w:val="00A57F58"/>
    <w:rsid w:val="00A82C39"/>
    <w:rsid w:val="00A8336C"/>
    <w:rsid w:val="00A83C5B"/>
    <w:rsid w:val="00A866B9"/>
    <w:rsid w:val="00A8718C"/>
    <w:rsid w:val="00AA3E59"/>
    <w:rsid w:val="00B002FF"/>
    <w:rsid w:val="00B202CE"/>
    <w:rsid w:val="00B24D28"/>
    <w:rsid w:val="00B74046"/>
    <w:rsid w:val="00BA70AF"/>
    <w:rsid w:val="00C329E3"/>
    <w:rsid w:val="00C86650"/>
    <w:rsid w:val="00D04709"/>
    <w:rsid w:val="00D062A7"/>
    <w:rsid w:val="00D774F1"/>
    <w:rsid w:val="00D86723"/>
    <w:rsid w:val="00DB6E91"/>
    <w:rsid w:val="00DE1E9A"/>
    <w:rsid w:val="00E50161"/>
    <w:rsid w:val="00EC1C32"/>
    <w:rsid w:val="00F3003A"/>
    <w:rsid w:val="00F376F7"/>
    <w:rsid w:val="00F85BA8"/>
    <w:rsid w:val="00F9532C"/>
    <w:rsid w:val="00FB148A"/>
    <w:rsid w:val="00FE1D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AB3A4"/>
  <w15:chartTrackingRefBased/>
  <w15:docId w15:val="{09AF5040-4DF8-4E35-9AD7-68E26FCF2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1EA5"/>
    <w:pPr>
      <w:spacing w:after="120" w:line="240" w:lineRule="auto"/>
    </w:pPr>
    <w:rPr>
      <w:rFonts w:ascii="Calibri" w:hAnsi="Calibri" w:cs="Calibri"/>
    </w:rPr>
  </w:style>
  <w:style w:type="paragraph" w:styleId="Heading1">
    <w:name w:val="heading 1"/>
    <w:basedOn w:val="Normal"/>
    <w:next w:val="Normal"/>
    <w:link w:val="Heading1Char"/>
    <w:autoRedefine/>
    <w:uiPriority w:val="9"/>
    <w:qFormat/>
    <w:rsid w:val="00511EA5"/>
    <w:pPr>
      <w:keepNext/>
      <w:keepLines/>
      <w:spacing w:before="240"/>
      <w:outlineLvl w:val="0"/>
    </w:pPr>
    <w:rPr>
      <w:rFonts w:asciiTheme="majorHAnsi" w:eastAsiaTheme="majorEastAsia" w:hAnsiTheme="majorHAnsi" w:cstheme="majorBidi"/>
      <w:b/>
      <w:sz w:val="24"/>
      <w:szCs w:val="32"/>
    </w:rPr>
  </w:style>
  <w:style w:type="paragraph" w:styleId="Heading2">
    <w:name w:val="heading 2"/>
    <w:basedOn w:val="Normal"/>
    <w:next w:val="Normal"/>
    <w:link w:val="Heading2Char"/>
    <w:autoRedefine/>
    <w:uiPriority w:val="9"/>
    <w:unhideWhenUsed/>
    <w:qFormat/>
    <w:rsid w:val="006A2BE6"/>
    <w:pPr>
      <w:keepNext/>
      <w:keepLines/>
      <w:spacing w:before="120" w:after="0"/>
      <w:outlineLvl w:val="1"/>
    </w:pPr>
    <w:rPr>
      <w:rFonts w:asciiTheme="minorHAnsi" w:eastAsia="Calibri" w:hAnsiTheme="minorHAnsi" w:cstheme="minorHAnsi"/>
      <w:b/>
      <w:szCs w:val="26"/>
    </w:rPr>
  </w:style>
  <w:style w:type="paragraph" w:styleId="Heading3">
    <w:name w:val="heading 3"/>
    <w:basedOn w:val="Normal"/>
    <w:next w:val="Normal"/>
    <w:link w:val="Heading3Char"/>
    <w:uiPriority w:val="9"/>
    <w:unhideWhenUsed/>
    <w:qFormat/>
    <w:rsid w:val="00740C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A2BE6"/>
    <w:rPr>
      <w:rFonts w:eastAsia="Calibri" w:cstheme="minorHAnsi"/>
      <w:b/>
      <w:szCs w:val="26"/>
    </w:rPr>
  </w:style>
  <w:style w:type="character" w:customStyle="1" w:styleId="Heading1Char">
    <w:name w:val="Heading 1 Char"/>
    <w:basedOn w:val="DefaultParagraphFont"/>
    <w:link w:val="Heading1"/>
    <w:uiPriority w:val="9"/>
    <w:rsid w:val="00511EA5"/>
    <w:rPr>
      <w:rFonts w:asciiTheme="majorHAnsi" w:eastAsiaTheme="majorEastAsia" w:hAnsiTheme="majorHAnsi" w:cstheme="majorBidi"/>
      <w:b/>
      <w:sz w:val="24"/>
      <w:szCs w:val="32"/>
    </w:rPr>
  </w:style>
  <w:style w:type="character" w:customStyle="1" w:styleId="blue">
    <w:name w:val="blue"/>
    <w:basedOn w:val="DefaultParagraphFont"/>
    <w:rsid w:val="00A82C39"/>
    <w:rPr>
      <w:color w:val="0070C0"/>
    </w:rPr>
  </w:style>
  <w:style w:type="paragraph" w:styleId="Header">
    <w:name w:val="header"/>
    <w:basedOn w:val="Normal"/>
    <w:link w:val="HeaderChar"/>
    <w:uiPriority w:val="99"/>
    <w:unhideWhenUsed/>
    <w:rsid w:val="00381931"/>
    <w:pPr>
      <w:tabs>
        <w:tab w:val="center" w:pos="4680"/>
        <w:tab w:val="right" w:pos="9360"/>
      </w:tabs>
      <w:spacing w:after="0"/>
    </w:pPr>
  </w:style>
  <w:style w:type="character" w:customStyle="1" w:styleId="HeaderChar">
    <w:name w:val="Header Char"/>
    <w:basedOn w:val="DefaultParagraphFont"/>
    <w:link w:val="Header"/>
    <w:uiPriority w:val="99"/>
    <w:rsid w:val="00381931"/>
    <w:rPr>
      <w:rFonts w:ascii="Calibri" w:hAnsi="Calibri" w:cs="Calibri"/>
    </w:rPr>
  </w:style>
  <w:style w:type="paragraph" w:styleId="Footer">
    <w:name w:val="footer"/>
    <w:basedOn w:val="Normal"/>
    <w:link w:val="FooterChar"/>
    <w:uiPriority w:val="99"/>
    <w:unhideWhenUsed/>
    <w:rsid w:val="00381931"/>
    <w:pPr>
      <w:tabs>
        <w:tab w:val="center" w:pos="4680"/>
        <w:tab w:val="right" w:pos="9360"/>
      </w:tabs>
      <w:spacing w:after="0"/>
    </w:pPr>
  </w:style>
  <w:style w:type="character" w:customStyle="1" w:styleId="FooterChar">
    <w:name w:val="Footer Char"/>
    <w:basedOn w:val="DefaultParagraphFont"/>
    <w:link w:val="Footer"/>
    <w:uiPriority w:val="99"/>
    <w:rsid w:val="00381931"/>
    <w:rPr>
      <w:rFonts w:ascii="Calibri" w:hAnsi="Calibri" w:cs="Calibri"/>
    </w:rPr>
  </w:style>
  <w:style w:type="paragraph" w:styleId="ListParagraph">
    <w:name w:val="List Paragraph"/>
    <w:basedOn w:val="Normal"/>
    <w:uiPriority w:val="1"/>
    <w:qFormat/>
    <w:rsid w:val="00750DCD"/>
    <w:pPr>
      <w:spacing w:after="200" w:line="276" w:lineRule="auto"/>
      <w:ind w:left="720"/>
      <w:contextualSpacing/>
    </w:pPr>
    <w:rPr>
      <w:rFonts w:asciiTheme="minorHAnsi" w:hAnsiTheme="minorHAnsi" w:cstheme="minorBidi"/>
    </w:rPr>
  </w:style>
  <w:style w:type="character" w:customStyle="1" w:styleId="Heading3Char">
    <w:name w:val="Heading 3 Char"/>
    <w:basedOn w:val="DefaultParagraphFont"/>
    <w:link w:val="Heading3"/>
    <w:uiPriority w:val="9"/>
    <w:rsid w:val="00740CB3"/>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6A03DC"/>
    <w:rPr>
      <w:sz w:val="16"/>
      <w:szCs w:val="16"/>
    </w:rPr>
  </w:style>
  <w:style w:type="paragraph" w:styleId="CommentText">
    <w:name w:val="annotation text"/>
    <w:basedOn w:val="Normal"/>
    <w:link w:val="CommentTextChar"/>
    <w:uiPriority w:val="99"/>
    <w:semiHidden/>
    <w:unhideWhenUsed/>
    <w:rsid w:val="006A03DC"/>
    <w:rPr>
      <w:sz w:val="20"/>
      <w:szCs w:val="20"/>
    </w:rPr>
  </w:style>
  <w:style w:type="character" w:customStyle="1" w:styleId="CommentTextChar">
    <w:name w:val="Comment Text Char"/>
    <w:basedOn w:val="DefaultParagraphFont"/>
    <w:link w:val="CommentText"/>
    <w:uiPriority w:val="99"/>
    <w:semiHidden/>
    <w:rsid w:val="006A03DC"/>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6A03DC"/>
    <w:rPr>
      <w:b/>
      <w:bCs/>
    </w:rPr>
  </w:style>
  <w:style w:type="character" w:customStyle="1" w:styleId="CommentSubjectChar">
    <w:name w:val="Comment Subject Char"/>
    <w:basedOn w:val="CommentTextChar"/>
    <w:link w:val="CommentSubject"/>
    <w:uiPriority w:val="99"/>
    <w:semiHidden/>
    <w:rsid w:val="006A03DC"/>
    <w:rPr>
      <w:rFonts w:ascii="Calibri" w:hAnsi="Calibri" w:cs="Calibri"/>
      <w:b/>
      <w:bCs/>
      <w:sz w:val="20"/>
      <w:szCs w:val="20"/>
    </w:rPr>
  </w:style>
  <w:style w:type="paragraph" w:styleId="BalloonText">
    <w:name w:val="Balloon Text"/>
    <w:basedOn w:val="Normal"/>
    <w:link w:val="BalloonTextChar"/>
    <w:uiPriority w:val="99"/>
    <w:semiHidden/>
    <w:unhideWhenUsed/>
    <w:rsid w:val="006A03DC"/>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03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70C681-97B7-4DAB-AAD6-1823CF101F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2556</Words>
  <Characters>14574</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U. S. Forest Service</Company>
  <LinksUpToDate>false</LinksUpToDate>
  <CharactersWithSpaces>17096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Rutledge, Kris -FS</dc:creator>
  <cp:keywords/>
  <dc:description/>
  <cp:lastModifiedBy>Malacas, Charlette -FS</cp:lastModifiedBy>
  <cp:revision>2</cp:revision>
  <dcterms:created xsi:type="dcterms:W3CDTF">2019-03-02T00:17:00Z</dcterms:created>
  <dcterms:modified xsi:type="dcterms:W3CDTF">2019-03-02T00:17:00Z</dcterms:modified>
</cp:coreProperties>
</file>