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7C9" w:rsidRPr="00937765" w:rsidRDefault="005A66E7" w:rsidP="00D357C9">
      <w:bookmarkStart w:id="0" w:name="_GoBack"/>
      <w:bookmarkEnd w:id="0"/>
      <w:r w:rsidRPr="005A66E7">
        <w:rPr>
          <w:b/>
        </w:rPr>
        <w:t>Issue:</w:t>
      </w:r>
      <w:r>
        <w:t xml:space="preserve"> </w:t>
      </w:r>
      <w:r w:rsidR="00D357C9">
        <w:tab/>
      </w:r>
      <w:r w:rsidR="00CB7D12">
        <w:t>You allege</w:t>
      </w:r>
      <w:r w:rsidR="00937765" w:rsidRPr="00572EEE">
        <w:t xml:space="preserve"> the FEIS fails to provide detailed, site-specific analysis necessary to make reasoned choices among proposed action alternatives.</w:t>
      </w:r>
    </w:p>
    <w:p w:rsidR="00D357C9" w:rsidRPr="00046BF6" w:rsidRDefault="00750DCD" w:rsidP="00D357C9">
      <w:pPr>
        <w:rPr>
          <w:rFonts w:eastAsia="Calibri"/>
        </w:rPr>
      </w:pPr>
      <w:r w:rsidRPr="00750DCD">
        <w:rPr>
          <w:b/>
        </w:rPr>
        <w:t>Response:</w:t>
      </w:r>
      <w:r>
        <w:t xml:space="preserve"> </w:t>
      </w:r>
      <w:r w:rsidR="00CB7D12">
        <w:t>The National Environmental Policy Act (NEPA)</w:t>
      </w:r>
      <w:r w:rsidR="00D357C9" w:rsidRPr="00046BF6">
        <w:t xml:space="preserve"> requires that the agency should be able to demonstrate that it has taken a careful look at its actions and engaged in reasoned decision-making by using a </w:t>
      </w:r>
      <w:r w:rsidR="00D357C9" w:rsidRPr="00046BF6">
        <w:rPr>
          <w:color w:val="000000"/>
          <w:kern w:val="22"/>
        </w:rPr>
        <w:t xml:space="preserve">reasonable and reliable process to identify potential environmental effects, and, if adverse impacts are found, use that information to explore options to reduce those impacts while still achieving the project’s objectives. </w:t>
      </w:r>
      <w:r w:rsidR="00D357C9" w:rsidRPr="00046BF6">
        <w:rPr>
          <w:rFonts w:eastAsia="Calibri"/>
        </w:rPr>
        <w:t>The agency must also be able to explain clearly why the data it has collected and the methodologies it used were adequate to inform the public and the decision-maker of a project’s environmental effects.</w:t>
      </w:r>
    </w:p>
    <w:p w:rsidR="00D357C9" w:rsidRPr="00046BF6" w:rsidRDefault="008845DD" w:rsidP="00D357C9">
      <w:r>
        <w:rPr>
          <w:rFonts w:eastAsia="Calibri"/>
        </w:rPr>
        <w:t>The FEIS is c</w:t>
      </w:r>
      <w:r w:rsidR="00D357C9" w:rsidRPr="00046BF6">
        <w:rPr>
          <w:rFonts w:eastAsia="Calibri"/>
        </w:rPr>
        <w:t xml:space="preserve">onsistent </w:t>
      </w:r>
      <w:r w:rsidR="00D357C9">
        <w:rPr>
          <w:rFonts w:eastAsia="Calibri"/>
        </w:rPr>
        <w:t xml:space="preserve">with these requirements </w:t>
      </w:r>
      <w:r>
        <w:rPr>
          <w:rFonts w:eastAsia="Calibri"/>
        </w:rPr>
        <w:t>in that it</w:t>
      </w:r>
      <w:r w:rsidR="00D357C9" w:rsidRPr="00046BF6">
        <w:t xml:space="preserve"> employs a condition-based management strategy, where implementation of specific actions (described in Activity Cards) varies according to clearly identified on-the-ground and site-specific conditions</w:t>
      </w:r>
      <w:r>
        <w:t>. This</w:t>
      </w:r>
      <w:r w:rsidR="00D357C9" w:rsidRPr="00046BF6">
        <w:t xml:space="preserve"> allows flexibility when new information or changed circumstances arising during implementation are discovered, while staying within the design parameters and legal sideboards of the decision’s implementation plan.</w:t>
      </w:r>
      <w:r w:rsidR="00D357C9">
        <w:t xml:space="preserve"> This level of analysis meets the requirement of NEPA although the analysis is not acre-by-acre (nor is that required), all the potential actions have been identified and analyzed at the maximum level of implementation allowable within each alternative.</w:t>
      </w:r>
    </w:p>
    <w:p w:rsidR="00D357C9" w:rsidRPr="00046BF6" w:rsidRDefault="00D357C9" w:rsidP="00D357C9">
      <w:pPr>
        <w:rPr>
          <w:rFonts w:eastAsia="Calibri"/>
        </w:rPr>
      </w:pPr>
      <w:r w:rsidRPr="00046BF6">
        <w:rPr>
          <w:rFonts w:eastAsia="Calibri"/>
        </w:rPr>
        <w:t xml:space="preserve">The </w:t>
      </w:r>
      <w:r w:rsidR="00FF0365">
        <w:rPr>
          <w:rFonts w:eastAsia="Calibri"/>
        </w:rPr>
        <w:t>FEIS</w:t>
      </w:r>
      <w:r w:rsidRPr="00046BF6">
        <w:rPr>
          <w:rFonts w:eastAsia="Calibri"/>
        </w:rPr>
        <w:t xml:space="preserve"> fully complies with NEPA requirements </w:t>
      </w:r>
      <w:r w:rsidR="008845DD">
        <w:rPr>
          <w:rFonts w:eastAsia="Calibri"/>
        </w:rPr>
        <w:t>to allow</w:t>
      </w:r>
      <w:r w:rsidRPr="00046BF6">
        <w:rPr>
          <w:rFonts w:eastAsia="Calibri"/>
        </w:rPr>
        <w:t xml:space="preserve"> for a reasoned choice between alternatives.</w:t>
      </w:r>
    </w:p>
    <w:p w:rsidR="00A82C39" w:rsidRDefault="00A82C39" w:rsidP="00D357C9"/>
    <w:p w:rsidR="00D357C9" w:rsidRPr="00572EEE" w:rsidRDefault="00D357C9" w:rsidP="00D357C9">
      <w:r w:rsidRPr="00D357C9">
        <w:rPr>
          <w:b/>
        </w:rPr>
        <w:t>Issue:</w:t>
      </w:r>
      <w:r>
        <w:t xml:space="preserve"> </w:t>
      </w:r>
      <w:r>
        <w:tab/>
        <w:t>You contend</w:t>
      </w:r>
      <w:r w:rsidRPr="00572EEE">
        <w:t xml:space="preserve"> that the incorporation of herbicide treatments on invasive plant populations to keep the infestation of </w:t>
      </w:r>
      <w:r w:rsidR="008845DD">
        <w:t>noxious and invasive weeds on National Forest</w:t>
      </w:r>
      <w:r w:rsidRPr="00572EEE">
        <w:t xml:space="preserve"> lands is arbitrary because the Forest Supervisor</w:t>
      </w:r>
      <w:r w:rsidR="008845DD">
        <w:t>’s</w:t>
      </w:r>
      <w:r w:rsidRPr="00572EEE">
        <w:t xml:space="preserve"> rational</w:t>
      </w:r>
      <w:r w:rsidR="008845DD">
        <w:t>e</w:t>
      </w:r>
      <w:r w:rsidRPr="00572EEE">
        <w:t xml:space="preserve"> is counter to the evidence presented in the FEIS.</w:t>
      </w:r>
    </w:p>
    <w:p w:rsidR="00D357C9" w:rsidRPr="00572EEE" w:rsidRDefault="00D357C9" w:rsidP="00D357C9">
      <w:r w:rsidRPr="00D357C9">
        <w:rPr>
          <w:b/>
        </w:rPr>
        <w:t>Response:</w:t>
      </w:r>
      <w:r>
        <w:t xml:space="preserve"> You</w:t>
      </w:r>
      <w:r w:rsidRPr="00572EEE">
        <w:t xml:space="preserve"> may have interpreted the inclusion of herbicide use counter to the need for herbicide if, </w:t>
      </w:r>
      <w:r>
        <w:t>you believe the herbicides were targeted at the undeveloped lands</w:t>
      </w:r>
      <w:r w:rsidR="008845DD">
        <w:t>. A</w:t>
      </w:r>
      <w:r w:rsidRPr="00572EEE">
        <w:t xml:space="preserve">s </w:t>
      </w:r>
      <w:r>
        <w:t>you</w:t>
      </w:r>
      <w:r w:rsidRPr="00572EEE">
        <w:t xml:space="preserve"> cite from the FEIS, “undeveloped lands in the project have relatively f</w:t>
      </w:r>
      <w:r>
        <w:t>ew invasive plant infestations”</w:t>
      </w:r>
      <w:r w:rsidRPr="00572EEE">
        <w:t xml:space="preserve"> and “invasive species generally do not occur within old</w:t>
      </w:r>
      <w:r w:rsidR="004C6836">
        <w:t>-</w:t>
      </w:r>
      <w:r w:rsidRPr="00572EEE">
        <w:t xml:space="preserve">growth forest.” However, </w:t>
      </w:r>
      <w:r w:rsidR="00A51C42">
        <w:t>the FEIS goes on to explain that “[d]</w:t>
      </w:r>
      <w:r w:rsidR="00A51C42" w:rsidRPr="00572EEE">
        <w:t>isturbance of the old­growth and young-growth forest habitats can introduce invasive plants into the bare mineral soil exposed during logging operations" (FEIS p. 251), especially because “roads are conduits for the spread of weeds, facilitating their rapid transport</w:t>
      </w:r>
      <w:r w:rsidR="008845DD">
        <w:t xml:space="preserve"> and dispersal” (FEIS p. 249). </w:t>
      </w:r>
      <w:r w:rsidR="00A51C42">
        <w:t>T</w:t>
      </w:r>
      <w:r w:rsidRPr="00572EEE">
        <w:t>he need relates to the risk of spread of invasive plants from timber management activities.</w:t>
      </w:r>
    </w:p>
    <w:p w:rsidR="00A51C42" w:rsidRPr="00CB7D12" w:rsidRDefault="00A51C42" w:rsidP="00A51C42">
      <w:r w:rsidRPr="00CB7D12">
        <w:t xml:space="preserve">The draft decision fully complies with the applicable rules; but additional clarification is warranted. </w:t>
      </w:r>
    </w:p>
    <w:p w:rsidR="00A51C42" w:rsidRPr="00CB7D12" w:rsidRDefault="00A51C42" w:rsidP="00A51C42">
      <w:r w:rsidRPr="00CB7D12">
        <w:rPr>
          <w:b/>
        </w:rPr>
        <w:t xml:space="preserve">Instruction: </w:t>
      </w:r>
      <w:r w:rsidRPr="00CB7D12">
        <w:t xml:space="preserve">For clarity I am instructing the </w:t>
      </w:r>
      <w:r w:rsidR="00491063" w:rsidRPr="00CB7D12">
        <w:t xml:space="preserve">Responsible Official </w:t>
      </w:r>
      <w:r w:rsidRPr="00CB7D12">
        <w:t xml:space="preserve">to include a list </w:t>
      </w:r>
      <w:r w:rsidR="008845DD">
        <w:t xml:space="preserve">of </w:t>
      </w:r>
      <w:r w:rsidRPr="00CB7D12">
        <w:t>the herbicides that will be allowed by the decision in the ROD and include a clarification that impacts from herbicide use under Alternative 3 should now be applied to inform the final decision.</w:t>
      </w:r>
    </w:p>
    <w:p w:rsidR="00A51C42" w:rsidRPr="00CB7D12" w:rsidRDefault="00A51C42" w:rsidP="00A51C42"/>
    <w:p w:rsidR="00A51C42" w:rsidRPr="00CB7D12" w:rsidRDefault="00A51C42" w:rsidP="00A51C42">
      <w:r w:rsidRPr="00CB7D12">
        <w:rPr>
          <w:b/>
        </w:rPr>
        <w:t>Issue:</w:t>
      </w:r>
      <w:r w:rsidRPr="00CB7D12">
        <w:t xml:space="preserve"> </w:t>
      </w:r>
      <w:r w:rsidRPr="00CB7D12">
        <w:tab/>
        <w:t>You allege that the Forest Service violated NEPA by failing to disclose and analyze the opposing scientific viewpoints (Aley) in the FEIS as required by regu</w:t>
      </w:r>
      <w:r w:rsidR="008845DD">
        <w:t>lations issued by the Council on</w:t>
      </w:r>
      <w:r w:rsidRPr="00CB7D12">
        <w:t xml:space="preserve"> Environmental Quality (CEQ). </w:t>
      </w:r>
      <w:r w:rsidR="008845DD">
        <w:t>According to you w</w:t>
      </w:r>
      <w:r w:rsidRPr="00CB7D12">
        <w:t>ithout providing evidence of its reasoning in the FEIS or supporting resource reports, the agency's conclusion of negligible effects is arbitrary and it cannot demonstrate it took a hard look at the responsible opposing scientific viewpoints submitted for the record.</w:t>
      </w:r>
    </w:p>
    <w:p w:rsidR="00792100" w:rsidRPr="00CB7D12" w:rsidRDefault="00792100" w:rsidP="00792100">
      <w:r w:rsidRPr="00CB7D12">
        <w:rPr>
          <w:b/>
        </w:rPr>
        <w:t>Response:</w:t>
      </w:r>
      <w:r w:rsidRPr="00CB7D12">
        <w:t xml:space="preserve"> The Aley report referenced in </w:t>
      </w:r>
      <w:r w:rsidR="008845DD">
        <w:t>your</w:t>
      </w:r>
      <w:r w:rsidRPr="00CB7D12">
        <w:t xml:space="preserve"> letter it is not relevant to this project. Rather, the Aley report pertained to aerial application of herbicides and was outside the scope of this analysis because aerial application </w:t>
      </w:r>
      <w:r w:rsidR="008845DD">
        <w:t>is not proposed. (d</w:t>
      </w:r>
      <w:r w:rsidRPr="00CB7D12">
        <w:t xml:space="preserve">raft exhibit tracking table Row 114) </w:t>
      </w:r>
    </w:p>
    <w:p w:rsidR="00792100" w:rsidRPr="00CB7D12" w:rsidRDefault="00792100" w:rsidP="00792100">
      <w:r w:rsidRPr="00CB7D12">
        <w:lastRenderedPageBreak/>
        <w:t>Vulnerability classification criteria for karst lands wer</w:t>
      </w:r>
      <w:r w:rsidR="00246C62">
        <w:t>e determined a priority for the</w:t>
      </w:r>
      <w:r w:rsidRPr="00CB7D12">
        <w:t xml:space="preserve"> Forest Plan. Karst lands were differentiated into low, moderate, and high vulnerability. Low vulnerability karst land is similar to non-carbonate substrate due to a covering of glacial till or mineral soil that is greater than 40 inches deep. “These lands pose little or no threat to organic, sediment, debris or pollutant introduction into the karst hydrologic systems beneath through diffuse recharge” (Forest Plan, Appendix H, Sec 3.A.4.a.i.). A karst vulnerability assessment would permit herbicide (referred to as “other pollutants”) application, as outlined in the FEIS, on low vulnerability lands, but not on high or most moderate vulnerability karst land, proximal to any losing stream, or within any catchment basin for a karst groundwater system (Forest Plan, as amended 2016, Appendix H Sec III.4).</w:t>
      </w:r>
    </w:p>
    <w:p w:rsidR="00792100" w:rsidRPr="00CB7D12" w:rsidRDefault="00792100" w:rsidP="00792100">
      <w:r w:rsidRPr="00CB7D12">
        <w:t>The decision complies wi</w:t>
      </w:r>
      <w:r w:rsidR="00246C62">
        <w:t xml:space="preserve">th the requirements of the </w:t>
      </w:r>
      <w:r w:rsidRPr="00CB7D12">
        <w:t xml:space="preserve">Forest Plan. </w:t>
      </w:r>
    </w:p>
    <w:p w:rsidR="00A51C42" w:rsidRPr="00CB7D12" w:rsidRDefault="00A51C42" w:rsidP="00A51C42"/>
    <w:p w:rsidR="004F2F3F" w:rsidRPr="00CB7D12" w:rsidRDefault="004F2F3F" w:rsidP="004F2F3F">
      <w:r w:rsidRPr="00CB7D12">
        <w:rPr>
          <w:b/>
        </w:rPr>
        <w:t>Issue:</w:t>
      </w:r>
      <w:r w:rsidRPr="00CB7D12">
        <w:t xml:space="preserve"> </w:t>
      </w:r>
      <w:r w:rsidRPr="00CB7D12">
        <w:tab/>
        <w:t xml:space="preserve">You allege the Forest Service violates </w:t>
      </w:r>
      <w:r w:rsidR="008845DD">
        <w:t>the National forest Management Act (</w:t>
      </w:r>
      <w:r w:rsidRPr="00CB7D12">
        <w:t>NFMA</w:t>
      </w:r>
      <w:r w:rsidR="008845DD">
        <w:t>)</w:t>
      </w:r>
      <w:r w:rsidRPr="00CB7D12">
        <w:t xml:space="preserve"> because the Forest Plan requires the Forest Service to inventory and classify karst and cave resources based on resource values </w:t>
      </w:r>
      <w:r w:rsidR="008845DD">
        <w:t>and sensitivity to change.</w:t>
      </w:r>
      <w:r w:rsidRPr="00CB7D12">
        <w:t xml:space="preserve"> Although Activity Card #35 calls for review of treatment plans by "the District/SO Geologist or Karst Specialist," it does not require preparation of a karst vulnerability assessment or allow the Geologist to delay implementation until comp</w:t>
      </w:r>
      <w:r w:rsidR="008845DD">
        <w:t>letion of the assessment.</w:t>
      </w:r>
    </w:p>
    <w:p w:rsidR="008648E4" w:rsidRPr="00CB7D12" w:rsidRDefault="008648E4" w:rsidP="008648E4">
      <w:r w:rsidRPr="00CB7D12">
        <w:rPr>
          <w:b/>
        </w:rPr>
        <w:t>Response:</w:t>
      </w:r>
      <w:r w:rsidRPr="00CB7D12">
        <w:t xml:space="preserve"> The</w:t>
      </w:r>
      <w:r w:rsidR="00246C62">
        <w:t xml:space="preserve"> POWLLA</w:t>
      </w:r>
      <w:r w:rsidRPr="00CB7D12">
        <w:t xml:space="preserve"> FEIS </w:t>
      </w:r>
      <w:r w:rsidR="00D420C3" w:rsidRPr="00CB7D12">
        <w:t>tiers to</w:t>
      </w:r>
      <w:r w:rsidRPr="00CB7D12">
        <w:t xml:space="preserve"> the Forest Plan requirement </w:t>
      </w:r>
      <w:r w:rsidR="00D420C3" w:rsidRPr="00CB7D12">
        <w:t>that a karst vulnerability assessment is required before any surface management practice, including application of herbicides, in a karst terrain as per Activity Card No. 35 and the above discussions. The FEIS also states that the karst vulnerability assessment will be used to approximate the disturbance index of specific karst watersheds and catchment areas.</w:t>
      </w:r>
    </w:p>
    <w:p w:rsidR="00D420C3" w:rsidRPr="00CB7D12" w:rsidRDefault="00D420C3" w:rsidP="008648E4">
      <w:r w:rsidRPr="00CB7D12">
        <w:t>The decision compli</w:t>
      </w:r>
      <w:r w:rsidR="00246C62">
        <w:t>es with the requirements of the</w:t>
      </w:r>
      <w:r w:rsidRPr="00CB7D12">
        <w:t xml:space="preserve"> Forest Plan. </w:t>
      </w:r>
    </w:p>
    <w:p w:rsidR="008648E4" w:rsidRPr="00CB7D12" w:rsidRDefault="00D420C3" w:rsidP="008648E4">
      <w:r w:rsidRPr="00CB7D12">
        <w:rPr>
          <w:b/>
        </w:rPr>
        <w:t>Instruction:</w:t>
      </w:r>
      <w:r w:rsidR="00842273" w:rsidRPr="00CB7D12">
        <w:t xml:space="preserve"> I am issuing </w:t>
      </w:r>
      <w:r w:rsidR="003D07D8" w:rsidRPr="00CB7D12">
        <w:t>an</w:t>
      </w:r>
      <w:r w:rsidR="00842273" w:rsidRPr="00CB7D12">
        <w:t xml:space="preserve"> instruction to the </w:t>
      </w:r>
      <w:r w:rsidR="00491063" w:rsidRPr="00CB7D12">
        <w:t xml:space="preserve">Responsible Official </w:t>
      </w:r>
      <w:r w:rsidR="00842273" w:rsidRPr="00CB7D12">
        <w:t>to</w:t>
      </w:r>
      <w:r w:rsidRPr="00CB7D12">
        <w:t xml:space="preserve"> clarify </w:t>
      </w:r>
      <w:r w:rsidR="00842273" w:rsidRPr="00CB7D12">
        <w:t xml:space="preserve">that a karst vulnerability assessment will be conducted </w:t>
      </w:r>
      <w:r w:rsidR="003D07D8" w:rsidRPr="00CB7D12">
        <w:t>as directed in the Forest Plan and to a</w:t>
      </w:r>
      <w:r w:rsidR="00842273" w:rsidRPr="00CB7D12">
        <w:t xml:space="preserve">dd the following to </w:t>
      </w:r>
      <w:r w:rsidRPr="00CB7D12">
        <w:t xml:space="preserve">Activity Card No. 35 </w:t>
      </w:r>
      <w:r w:rsidR="00842273" w:rsidRPr="00CB7D12">
        <w:t>“A</w:t>
      </w:r>
      <w:r w:rsidRPr="00CB7D12">
        <w:t xml:space="preserve"> karst vulnerability assessment will be completed prior to any surface management practice, including application of herbicide in karst terrain</w:t>
      </w:r>
      <w:r w:rsidR="00842273" w:rsidRPr="00CB7D12">
        <w:t>”</w:t>
      </w:r>
      <w:r w:rsidRPr="00CB7D12">
        <w:t>.</w:t>
      </w:r>
    </w:p>
    <w:p w:rsidR="008648E4" w:rsidRPr="00CB7D12" w:rsidRDefault="008648E4" w:rsidP="008648E4"/>
    <w:p w:rsidR="008648E4" w:rsidRPr="00CB7D12" w:rsidRDefault="008648E4" w:rsidP="008648E4">
      <w:r w:rsidRPr="00CB7D12">
        <w:rPr>
          <w:b/>
        </w:rPr>
        <w:t>Issue:</w:t>
      </w:r>
      <w:r w:rsidRPr="00CB7D12">
        <w:t xml:space="preserve"> </w:t>
      </w:r>
      <w:r w:rsidR="00EC005D" w:rsidRPr="00CB7D12">
        <w:tab/>
        <w:t>You assert that t</w:t>
      </w:r>
      <w:r w:rsidRPr="00CB7D12">
        <w:t>he finding of No Effect from applying herbicides on high vulnerability karst is arbitrary because the F</w:t>
      </w:r>
      <w:r w:rsidR="00CB7D12" w:rsidRPr="00CB7D12">
        <w:t xml:space="preserve">orest </w:t>
      </w:r>
      <w:r w:rsidRPr="00CB7D12">
        <w:t>S</w:t>
      </w:r>
      <w:r w:rsidR="00CB7D12" w:rsidRPr="00CB7D12">
        <w:t>ervice</w:t>
      </w:r>
      <w:r w:rsidRPr="00CB7D12">
        <w:t xml:space="preserve"> failed to fully consider the effects of herbicide contamination of groundwater and rare cave obligate amphipod species in karst systems.</w:t>
      </w:r>
    </w:p>
    <w:p w:rsidR="00EC005D" w:rsidRPr="00CB7D12" w:rsidRDefault="008648E4" w:rsidP="00D420C3">
      <w:r w:rsidRPr="00CB7D12">
        <w:rPr>
          <w:b/>
        </w:rPr>
        <w:t>Response:</w:t>
      </w:r>
      <w:r w:rsidRPr="00CB7D12">
        <w:t xml:space="preserve"> </w:t>
      </w:r>
      <w:r w:rsidR="00EC005D" w:rsidRPr="00CB7D12">
        <w:t>The karst vulnerability assessment would preclude any proposed herbicide application activity on high vulnerability karst lands and most moderate vulnerability karst lands, proximal to any losing stream, or within any catchment basin for a karst groundwater system. (Forest Plan, as amended 2016, Appendix H, Sec III.4). In addition, low vulnerability karst terrains are considered imperme</w:t>
      </w:r>
      <w:r w:rsidR="008845DD">
        <w:t>able based on the 40 inch-</w:t>
      </w:r>
      <w:r w:rsidR="00EC005D" w:rsidRPr="00CB7D12">
        <w:t xml:space="preserve">cover of glacial till or mineral soil. (Forest Plan, Appendix H, Sec III.4(a)(i)) </w:t>
      </w:r>
    </w:p>
    <w:p w:rsidR="00EC005D" w:rsidRPr="00CB7D12" w:rsidRDefault="008845DD" w:rsidP="00D420C3">
      <w:r>
        <w:t xml:space="preserve">As </w:t>
      </w:r>
      <w:r w:rsidR="00EC005D" w:rsidRPr="00CB7D12">
        <w:t>no herbicides would be applied on these systems it is reasonable to come to a finding of No Effect on cave obligate amphipod species.</w:t>
      </w:r>
    </w:p>
    <w:p w:rsidR="00EC005D" w:rsidRPr="00CB7D12" w:rsidRDefault="00EC005D" w:rsidP="00EC005D"/>
    <w:p w:rsidR="008845DD" w:rsidRDefault="008845DD" w:rsidP="005D6A6F">
      <w:r w:rsidRPr="00CB7D12">
        <w:rPr>
          <w:b/>
        </w:rPr>
        <w:t>Issue:</w:t>
      </w:r>
      <w:r w:rsidRPr="00CB7D12">
        <w:t xml:space="preserve"> You allege that failure to consider recommendations from the Interagency Review Team’s project-level review violates </w:t>
      </w:r>
      <w:r>
        <w:t>the Forest Plan</w:t>
      </w:r>
      <w:r w:rsidRPr="00CB7D12">
        <w:t xml:space="preserve"> and that the Responsible Official</w:t>
      </w:r>
      <w:r>
        <w:t>’</w:t>
      </w:r>
      <w:r w:rsidRPr="00CB7D12">
        <w:t>s decision to not amend the Forest Plan to narrow the scope of analysis for this project is arbitrary</w:t>
      </w:r>
      <w:r>
        <w:t>. According to you, this is</w:t>
      </w:r>
      <w:r w:rsidRPr="00CB7D12">
        <w:t xml:space="preserve"> because as noted by the I</w:t>
      </w:r>
      <w:r>
        <w:t>nteragency Review Team</w:t>
      </w:r>
      <w:r w:rsidRPr="00CB7D12">
        <w:t xml:space="preserve"> "[a]n overall review of the Conservation Strategy is not necessary for a modification to an individual </w:t>
      </w:r>
      <w:r>
        <w:t>[old growth reserve (</w:t>
      </w:r>
      <w:r w:rsidRPr="00CB7D12">
        <w:t>OGR</w:t>
      </w:r>
      <w:r>
        <w:t>)]</w:t>
      </w:r>
      <w:r w:rsidRPr="00CB7D12">
        <w:t xml:space="preserve"> [and can be] document[ed] through the NEPA process</w:t>
      </w:r>
      <w:r>
        <w:t>”</w:t>
      </w:r>
      <w:r w:rsidRPr="00CB7D12">
        <w:t xml:space="preserve"> </w:t>
      </w:r>
    </w:p>
    <w:p w:rsidR="005D6A6F" w:rsidRPr="00CB7D12" w:rsidRDefault="005D6A6F" w:rsidP="005D6A6F">
      <w:r w:rsidRPr="00CB7D12">
        <w:rPr>
          <w:b/>
        </w:rPr>
        <w:t>Response:</w:t>
      </w:r>
      <w:r w:rsidRPr="00CB7D12">
        <w:t xml:space="preserve">  Incorporating the recommendations from the interagency review is not a requirement. Rather the 1997 Forest Plan standards and guidelines for OGRs state that “[d]uring project level environmental analysis, for projects areas that include or are adjacent to mapped old-growth habitat reserves, the size, spacing and habitat composition of mapped reserves </w:t>
      </w:r>
      <w:r w:rsidRPr="00CB7D12">
        <w:rPr>
          <w:i/>
        </w:rPr>
        <w:t>may</w:t>
      </w:r>
      <w:r w:rsidRPr="00CB7D12">
        <w:t xml:space="preserve"> be further evaluated (USDA Forest Service 1997, Forest Plan, p. 3-82; emphasis added). Indeed, the recommendations were included in Alternative 4 and were considered but eliminated from detailed study. </w:t>
      </w:r>
    </w:p>
    <w:p w:rsidR="005D6A6F" w:rsidRPr="00CB7D12" w:rsidRDefault="005D6A6F" w:rsidP="005D6A6F">
      <w:r w:rsidRPr="00CB7D12">
        <w:t xml:space="preserve">Appendix K of the 1997 Forest Plan (Old-growth Habitat Reserve Criteria), referenced by </w:t>
      </w:r>
      <w:r w:rsidR="008845DD">
        <w:t>you</w:t>
      </w:r>
      <w:r w:rsidRPr="00CB7D12">
        <w:t xml:space="preserve">, gives </w:t>
      </w:r>
      <w:r w:rsidRPr="00CB7D12">
        <w:rPr>
          <w:i/>
        </w:rPr>
        <w:t>guidelines</w:t>
      </w:r>
      <w:r w:rsidRPr="00CB7D12">
        <w:t xml:space="preserve"> for further evaluating the design of reserves at the project level, but similarly does not </w:t>
      </w:r>
      <w:r w:rsidRPr="00CB7D12">
        <w:rPr>
          <w:i/>
        </w:rPr>
        <w:t xml:space="preserve">require </w:t>
      </w:r>
      <w:r w:rsidRPr="00CB7D12">
        <w:t xml:space="preserve">analysis. Appendix D of the 2008 Forest Plan (Old-growth Habitat Conservation Strategy, Wildlife Standards and Guidelines, and Wildlife Viability) describes the history of the OGR designation process, science considered, and changes from the 1997 Forest Plan. As noted in the 2008 Forest Plan, “[t]he Forest Service line officer retained decision authority to implement recommended changes or modify them” (2008 Forest Plan, Appendix D, p. D-27). The 2008 and 2016 Forest Plans include the same language that OGRs “may be further evaluated” (2008 Forest Plan, p. 3-62; 2016 Forest Plan, p. 3-63). Appendix K of the 2008 and 2016 Forest Plans state that “[u]nder limited circumstances, a line officer </w:t>
      </w:r>
      <w:r w:rsidRPr="00CB7D12">
        <w:rPr>
          <w:i/>
        </w:rPr>
        <w:t>may</w:t>
      </w:r>
      <w:r w:rsidRPr="00CB7D12">
        <w:t xml:space="preserve"> decide to modify the size and location of an OGR” (2008 and 2016 Forest Plans, Appendix K, p. K-1). </w:t>
      </w:r>
    </w:p>
    <w:p w:rsidR="004F0123" w:rsidRPr="00CB7D12" w:rsidRDefault="005D6A6F" w:rsidP="005D6A6F">
      <w:r w:rsidRPr="00CB7D12">
        <w:rPr>
          <w:b/>
        </w:rPr>
        <w:t>Instructions:</w:t>
      </w:r>
      <w:r w:rsidRPr="00CB7D12">
        <w:t xml:space="preserve"> During my review of the FEIS I noted that wh</w:t>
      </w:r>
      <w:r w:rsidR="004C6836" w:rsidRPr="00CB7D12">
        <w:t>ile the proposed changes to old-</w:t>
      </w:r>
      <w:r w:rsidRPr="00CB7D12">
        <w:t xml:space="preserve">growth reserves were included in Alternative 4, it may benefit the reader if this was more clearly stated. </w:t>
      </w:r>
    </w:p>
    <w:p w:rsidR="005D6A6F" w:rsidRPr="00CB7D12" w:rsidRDefault="005D6A6F" w:rsidP="005D6A6F">
      <w:r w:rsidRPr="00CB7D12">
        <w:t>Alternative 4</w:t>
      </w:r>
      <w:r w:rsidR="004F0123" w:rsidRPr="00CB7D12">
        <w:t xml:space="preserve"> also</w:t>
      </w:r>
      <w:r w:rsidRPr="00CB7D12">
        <w:t xml:space="preserve"> included the following statement “All other proposed activities within Alternative 4, besides the expanded timber base and additional telecommunication sites that require a Forest Plan amendment, are included within one of the other alternatives being analyzed in detail” (FEIS, p. 36). This statement is inaccurate and needs to be modified in an errata which identifies that the proposed changes to old growth reserves were not included in other alternatives and </w:t>
      </w:r>
      <w:r w:rsidR="004F0123" w:rsidRPr="00CB7D12">
        <w:t xml:space="preserve">states </w:t>
      </w:r>
      <w:r w:rsidRPr="00CB7D12">
        <w:t>the rational</w:t>
      </w:r>
      <w:r w:rsidR="004F0123" w:rsidRPr="00CB7D12">
        <w:t>e</w:t>
      </w:r>
      <w:r w:rsidRPr="00CB7D12">
        <w:t xml:space="preserve"> </w:t>
      </w:r>
      <w:r w:rsidR="004F0123" w:rsidRPr="00CB7D12">
        <w:t>for eliminating this action from detailed study</w:t>
      </w:r>
      <w:r w:rsidRPr="00CB7D12">
        <w:t>.</w:t>
      </w:r>
    </w:p>
    <w:p w:rsidR="004F0123" w:rsidRPr="00CB7D12" w:rsidRDefault="004F0123" w:rsidP="005D6A6F"/>
    <w:p w:rsidR="005D6A6F" w:rsidRPr="00CB7D12" w:rsidRDefault="005D6A6F" w:rsidP="005D6A6F">
      <w:r w:rsidRPr="00CB7D12">
        <w:rPr>
          <w:b/>
        </w:rPr>
        <w:t>Issue:</w:t>
      </w:r>
      <w:r w:rsidRPr="00CB7D12">
        <w:t xml:space="preserve"> </w:t>
      </w:r>
      <w:r w:rsidRPr="00CB7D12">
        <w:tab/>
        <w:t>You allege the Forest Service violated NEPA by failing to use high qu</w:t>
      </w:r>
      <w:r w:rsidR="008845DD">
        <w:t>ality information in the FEIS. According to you t</w:t>
      </w:r>
      <w:r w:rsidRPr="00CB7D12">
        <w:t xml:space="preserve">he socioeconomic discussion of the Niblack and Bokan Mountain prospects is incomplete, inaccurate, and confusing and ignores cited information supplied by </w:t>
      </w:r>
      <w:r w:rsidR="008845DD">
        <w:t>you</w:t>
      </w:r>
      <w:r w:rsidRPr="00CB7D12">
        <w:t>. Putting such unsubstantiated claims in official government documents lends a notion of undeserved credibility to these statements. By failing to insure the information in the FEIS is of high quality and accurate the F</w:t>
      </w:r>
      <w:r w:rsidR="00CB7D12" w:rsidRPr="00CB7D12">
        <w:t xml:space="preserve">orest </w:t>
      </w:r>
      <w:r w:rsidRPr="00CB7D12">
        <w:t>S</w:t>
      </w:r>
      <w:r w:rsidR="00CB7D12" w:rsidRPr="00CB7D12">
        <w:t>ervice</w:t>
      </w:r>
      <w:r w:rsidRPr="00CB7D12">
        <w:t xml:space="preserve"> has violated NEPA.</w:t>
      </w:r>
    </w:p>
    <w:p w:rsidR="002A7249" w:rsidRPr="00CB7D12" w:rsidRDefault="002A7249" w:rsidP="002A7249">
      <w:pPr>
        <w:rPr>
          <w:rFonts w:eastAsia="Times New Roman"/>
          <w:szCs w:val="24"/>
          <w:lang w:bidi="en-US"/>
        </w:rPr>
      </w:pPr>
      <w:r w:rsidRPr="00CB7D12">
        <w:rPr>
          <w:b/>
        </w:rPr>
        <w:t>Response:</w:t>
      </w:r>
      <w:r w:rsidRPr="00CB7D12">
        <w:t xml:space="preserve"> </w:t>
      </w:r>
      <w:r w:rsidRPr="00CB7D12">
        <w:rPr>
          <w:rFonts w:eastAsia="Times New Roman"/>
          <w:szCs w:val="24"/>
          <w:lang w:bidi="en-US"/>
        </w:rPr>
        <w:t>The two mines are listed in reasonably foreseeable future projects in the Socioeconomics cumulative effects secti</w:t>
      </w:r>
      <w:r w:rsidR="008845DD">
        <w:rPr>
          <w:rFonts w:eastAsia="Times New Roman"/>
          <w:szCs w:val="24"/>
          <w:lang w:bidi="en-US"/>
        </w:rPr>
        <w:t xml:space="preserve">on (FEIS, p. 3- 315). </w:t>
      </w:r>
      <w:r w:rsidRPr="00CB7D12">
        <w:rPr>
          <w:rFonts w:eastAsia="Times New Roman"/>
          <w:szCs w:val="24"/>
          <w:lang w:bidi="en-US"/>
        </w:rPr>
        <w:t>However as the mines have not submitted a Plan of Operations, nor is there a known timeline of when the operations might occur I agree that it is not a foreseeable future action at this time. As such I am issuing the following instruction.</w:t>
      </w:r>
    </w:p>
    <w:p w:rsidR="002A7249" w:rsidRPr="00CB7D12" w:rsidRDefault="002A7249" w:rsidP="002A7249">
      <w:pPr>
        <w:rPr>
          <w:rFonts w:eastAsia="Times New Roman"/>
          <w:szCs w:val="24"/>
          <w:lang w:bidi="en-US"/>
        </w:rPr>
      </w:pPr>
      <w:r w:rsidRPr="00CB7D12">
        <w:rPr>
          <w:rFonts w:eastAsia="Times New Roman"/>
          <w:b/>
          <w:szCs w:val="24"/>
          <w:lang w:bidi="en-US"/>
        </w:rPr>
        <w:t>Instructions:</w:t>
      </w:r>
      <w:r w:rsidRPr="00CB7D12">
        <w:rPr>
          <w:rFonts w:eastAsia="Times New Roman"/>
          <w:szCs w:val="24"/>
          <w:lang w:bidi="en-US"/>
        </w:rPr>
        <w:t xml:space="preserve"> I am instructing the </w:t>
      </w:r>
      <w:r w:rsidR="00491063" w:rsidRPr="00CB7D12">
        <w:rPr>
          <w:rFonts w:eastAsia="Times New Roman"/>
          <w:szCs w:val="24"/>
          <w:lang w:bidi="en-US"/>
        </w:rPr>
        <w:t xml:space="preserve">Responsible Official </w:t>
      </w:r>
      <w:r w:rsidRPr="00CB7D12">
        <w:rPr>
          <w:rFonts w:eastAsia="Times New Roman"/>
          <w:szCs w:val="24"/>
          <w:lang w:bidi="en-US"/>
        </w:rPr>
        <w:t>to add an errata to reflect the changes originally requested by SEAC</w:t>
      </w:r>
      <w:r w:rsidR="00CB7D12" w:rsidRPr="00CB7D12">
        <w:rPr>
          <w:rFonts w:eastAsia="Times New Roman"/>
          <w:szCs w:val="24"/>
          <w:lang w:bidi="en-US"/>
        </w:rPr>
        <w:t xml:space="preserve">C in their POWLLA draft </w:t>
      </w:r>
      <w:r w:rsidRPr="00CB7D12">
        <w:rPr>
          <w:rFonts w:eastAsia="Times New Roman"/>
          <w:szCs w:val="24"/>
          <w:lang w:bidi="en-US"/>
        </w:rPr>
        <w:t xml:space="preserve">EIS comment letter. To </w:t>
      </w:r>
      <w:r w:rsidR="004F0123" w:rsidRPr="00CB7D12">
        <w:rPr>
          <w:rFonts w:eastAsia="Times New Roman"/>
          <w:szCs w:val="24"/>
          <w:lang w:bidi="en-US"/>
        </w:rPr>
        <w:t>address</w:t>
      </w:r>
      <w:r w:rsidRPr="00CB7D12">
        <w:rPr>
          <w:rFonts w:eastAsia="Times New Roman"/>
          <w:szCs w:val="24"/>
          <w:lang w:bidi="en-US"/>
        </w:rPr>
        <w:t xml:space="preserve"> the SEACC comment, the errata could strike and change the last paragraph on p. 3-315 to read: </w:t>
      </w:r>
    </w:p>
    <w:p w:rsidR="002A7249" w:rsidRPr="00CB7D12" w:rsidRDefault="002A7249" w:rsidP="002A7249">
      <w:pPr>
        <w:ind w:left="720"/>
        <w:rPr>
          <w:rFonts w:eastAsia="Times New Roman"/>
          <w:szCs w:val="24"/>
          <w:lang w:bidi="en-US"/>
        </w:rPr>
      </w:pPr>
      <w:r w:rsidRPr="00CB7D12">
        <w:rPr>
          <w:rFonts w:eastAsia="Times New Roman"/>
          <w:szCs w:val="24"/>
          <w:lang w:bidi="en-US"/>
        </w:rPr>
        <w:t>Expansion of mining activities could impact social and economic conditions in the project area. With respect to rare earth mining, efforts to develop the Niblack and Bokan Doton-Ridge mines have unknown timeframes (FEIS Appendix C). Effects from mineral development in the project area are potentially substantial, including creation of jobs. However, neither of these mines is operational, and neither has submitted an operations plan and therefore do not constitute a reasonably foreseeable future action. There is no surface-disturbing activity on N</w:t>
      </w:r>
      <w:r w:rsidR="00CB7D12" w:rsidRPr="00CB7D12">
        <w:rPr>
          <w:rFonts w:eastAsia="Times New Roman"/>
          <w:szCs w:val="24"/>
          <w:lang w:bidi="en-US"/>
        </w:rPr>
        <w:t>ational Forest</w:t>
      </w:r>
      <w:r w:rsidRPr="00CB7D12">
        <w:rPr>
          <w:rFonts w:eastAsia="Times New Roman"/>
          <w:szCs w:val="24"/>
          <w:lang w:bidi="en-US"/>
        </w:rPr>
        <w:t xml:space="preserve"> lands and no foreseeable anticipated disturbance to </w:t>
      </w:r>
      <w:r w:rsidR="00CB7D12" w:rsidRPr="00CB7D12">
        <w:rPr>
          <w:rFonts w:eastAsia="Times New Roman"/>
          <w:szCs w:val="24"/>
          <w:lang w:bidi="en-US"/>
        </w:rPr>
        <w:t xml:space="preserve">National Forest </w:t>
      </w:r>
      <w:r w:rsidRPr="00CB7D12">
        <w:rPr>
          <w:rFonts w:eastAsia="Times New Roman"/>
          <w:szCs w:val="24"/>
          <w:lang w:bidi="en-US"/>
        </w:rPr>
        <w:t>lands at this time. Thes</w:t>
      </w:r>
      <w:r w:rsidR="003B098B">
        <w:rPr>
          <w:rFonts w:eastAsia="Times New Roman"/>
          <w:szCs w:val="24"/>
          <w:lang w:bidi="en-US"/>
        </w:rPr>
        <w:t>e effects are the same for all a</w:t>
      </w:r>
      <w:r w:rsidRPr="00CB7D12">
        <w:rPr>
          <w:rFonts w:eastAsia="Times New Roman"/>
          <w:szCs w:val="24"/>
          <w:lang w:bidi="en-US"/>
        </w:rPr>
        <w:t xml:space="preserve">lternatives. </w:t>
      </w:r>
    </w:p>
    <w:p w:rsidR="002A7249" w:rsidRPr="00CB7D12" w:rsidRDefault="002A7249" w:rsidP="002A7249">
      <w:pPr>
        <w:rPr>
          <w:rFonts w:eastAsia="Times New Roman"/>
          <w:szCs w:val="24"/>
          <w:lang w:bidi="en-US"/>
        </w:rPr>
      </w:pPr>
    </w:p>
    <w:p w:rsidR="00CF4DA5" w:rsidRPr="00CB7D12" w:rsidRDefault="004F0123" w:rsidP="00CF4DA5">
      <w:pPr>
        <w:rPr>
          <w:b/>
        </w:rPr>
      </w:pPr>
      <w:r w:rsidRPr="00CB7D12">
        <w:rPr>
          <w:b/>
        </w:rPr>
        <w:t>SUMM</w:t>
      </w:r>
      <w:r w:rsidR="004C6836" w:rsidRPr="00CB7D12">
        <w:rPr>
          <w:b/>
        </w:rPr>
        <w:t>A</w:t>
      </w:r>
      <w:r w:rsidRPr="00CB7D12">
        <w:rPr>
          <w:b/>
        </w:rPr>
        <w:t>RY</w:t>
      </w:r>
      <w:r w:rsidR="00CF4DA5" w:rsidRPr="00CB7D12">
        <w:rPr>
          <w:b/>
        </w:rPr>
        <w:t>:</w:t>
      </w:r>
    </w:p>
    <w:p w:rsidR="00CF4DA5" w:rsidRDefault="00CF4DA5" w:rsidP="00CF4DA5">
      <w:pPr>
        <w:rPr>
          <w:b/>
        </w:rPr>
      </w:pPr>
      <w:r w:rsidRPr="00CB7D12">
        <w:t xml:space="preserve">I have reviewed your objections and note that your concerns have been generally addressed in the FEIS. However, during my review of the FEIS I noted instructions to the </w:t>
      </w:r>
      <w:r w:rsidR="00491063" w:rsidRPr="00CB7D12">
        <w:t xml:space="preserve">Responsible Official </w:t>
      </w:r>
      <w:r w:rsidRPr="00CB7D12">
        <w:t>in some of the above issues that will clarify the analysis and fin</w:t>
      </w:r>
      <w:r w:rsidR="003B098B">
        <w:t xml:space="preserve">dings </w:t>
      </w:r>
      <w:r w:rsidRPr="00CB7D12">
        <w:t xml:space="preserve">or correct minor errors in the FEIS. My review constitutes the final administrative determination of the Department of agriculture: no further review from any other Forest Service or Department of Agriculture official of my written response to your objection is available (36 CFR 218.11(b)(2)). The </w:t>
      </w:r>
      <w:r w:rsidR="00491063" w:rsidRPr="00CB7D12">
        <w:t xml:space="preserve">Responsible Official </w:t>
      </w:r>
      <w:r w:rsidRPr="00CB7D12">
        <w:t>may sign the Record of De</w:t>
      </w:r>
      <w:r w:rsidR="003B098B">
        <w:t>cision for this project once all</w:t>
      </w:r>
      <w:r w:rsidRPr="00CB7D12">
        <w:t xml:space="preserve"> instructions are completed.</w:t>
      </w:r>
      <w:r w:rsidRPr="007F610A">
        <w:rPr>
          <w:b/>
        </w:rPr>
        <w:t xml:space="preserve"> </w:t>
      </w:r>
    </w:p>
    <w:p w:rsidR="00EC005D" w:rsidRDefault="00EC005D" w:rsidP="00D420C3"/>
    <w:p w:rsidR="00A51C42" w:rsidRPr="00572EEE" w:rsidRDefault="00A51C42" w:rsidP="00A51C42"/>
    <w:p w:rsidR="00D357C9" w:rsidRDefault="00D357C9" w:rsidP="00D357C9"/>
    <w:p w:rsidR="00A96AA6" w:rsidRPr="0011700E" w:rsidRDefault="00A96AA6" w:rsidP="00D357C9"/>
    <w:sectPr w:rsidR="00A96AA6" w:rsidRPr="0011700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DCA" w:rsidRDefault="002C1DCA" w:rsidP="00381931">
      <w:pPr>
        <w:spacing w:after="0"/>
      </w:pPr>
      <w:r>
        <w:separator/>
      </w:r>
    </w:p>
  </w:endnote>
  <w:endnote w:type="continuationSeparator" w:id="0">
    <w:p w:rsidR="002C1DCA" w:rsidRDefault="002C1DCA" w:rsidP="003819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10016"/>
      <w:docPartObj>
        <w:docPartGallery w:val="Page Numbers (Bottom of Page)"/>
        <w:docPartUnique/>
      </w:docPartObj>
    </w:sdtPr>
    <w:sdtEndPr>
      <w:rPr>
        <w:color w:val="7F7F7F" w:themeColor="background1" w:themeShade="7F"/>
        <w:spacing w:val="60"/>
      </w:rPr>
    </w:sdtEndPr>
    <w:sdtContent>
      <w:p w:rsidR="00A96AA6" w:rsidRDefault="00A96AA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C1DCA" w:rsidRPr="002C1DCA">
          <w:rPr>
            <w:b/>
            <w:bCs/>
            <w:noProof/>
          </w:rPr>
          <w:t>1</w:t>
        </w:r>
        <w:r>
          <w:rPr>
            <w:b/>
            <w:bCs/>
            <w:noProof/>
          </w:rPr>
          <w:fldChar w:fldCharType="end"/>
        </w:r>
        <w:r>
          <w:rPr>
            <w:b/>
            <w:bCs/>
          </w:rPr>
          <w:t xml:space="preserve"> | </w:t>
        </w:r>
        <w:r>
          <w:rPr>
            <w:color w:val="7F7F7F" w:themeColor="background1" w:themeShade="7F"/>
            <w:spacing w:val="60"/>
          </w:rPr>
          <w:t>Page</w:t>
        </w:r>
      </w:p>
    </w:sdtContent>
  </w:sdt>
  <w:p w:rsidR="00A96AA6" w:rsidRDefault="00A96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DCA" w:rsidRDefault="002C1DCA" w:rsidP="00381931">
      <w:pPr>
        <w:spacing w:after="0"/>
      </w:pPr>
      <w:r>
        <w:separator/>
      </w:r>
    </w:p>
  </w:footnote>
  <w:footnote w:type="continuationSeparator" w:id="0">
    <w:p w:rsidR="002C1DCA" w:rsidRDefault="002C1DCA" w:rsidP="003819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931" w:rsidRDefault="00381931">
    <w:pPr>
      <w:pStyle w:val="Header"/>
    </w:pPr>
    <w:r>
      <w:t>Objection</w:t>
    </w:r>
    <w:r w:rsidR="00937765">
      <w:t xml:space="preserve"> Response POWLLA # 19-10-00-0010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14719D"/>
    <w:multiLevelType w:val="hybridMultilevel"/>
    <w:tmpl w:val="DA3E0D5C"/>
    <w:lvl w:ilvl="0" w:tplc="7F820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40"/>
    <w:rsid w:val="000333C1"/>
    <w:rsid w:val="000F6A0B"/>
    <w:rsid w:val="0011700E"/>
    <w:rsid w:val="001A35C6"/>
    <w:rsid w:val="001B0DE0"/>
    <w:rsid w:val="001E5D22"/>
    <w:rsid w:val="001E6DA2"/>
    <w:rsid w:val="001F4644"/>
    <w:rsid w:val="00246C62"/>
    <w:rsid w:val="002A7249"/>
    <w:rsid w:val="002B54AF"/>
    <w:rsid w:val="002C1DCA"/>
    <w:rsid w:val="002D5864"/>
    <w:rsid w:val="0033571E"/>
    <w:rsid w:val="00381931"/>
    <w:rsid w:val="003B098B"/>
    <w:rsid w:val="003D07D8"/>
    <w:rsid w:val="00470104"/>
    <w:rsid w:val="0047257E"/>
    <w:rsid w:val="00491063"/>
    <w:rsid w:val="004A2A92"/>
    <w:rsid w:val="004C6836"/>
    <w:rsid w:val="004F0123"/>
    <w:rsid w:val="004F2F3F"/>
    <w:rsid w:val="00511EA5"/>
    <w:rsid w:val="005A66E7"/>
    <w:rsid w:val="005D6A6F"/>
    <w:rsid w:val="00613B1E"/>
    <w:rsid w:val="006159DE"/>
    <w:rsid w:val="006E41DD"/>
    <w:rsid w:val="007171EB"/>
    <w:rsid w:val="00721B74"/>
    <w:rsid w:val="00744945"/>
    <w:rsid w:val="00750DCD"/>
    <w:rsid w:val="00792100"/>
    <w:rsid w:val="00842273"/>
    <w:rsid w:val="008648E4"/>
    <w:rsid w:val="008845DD"/>
    <w:rsid w:val="0089492E"/>
    <w:rsid w:val="00937765"/>
    <w:rsid w:val="00942940"/>
    <w:rsid w:val="00946130"/>
    <w:rsid w:val="00973DCC"/>
    <w:rsid w:val="00992B5F"/>
    <w:rsid w:val="009A0D8D"/>
    <w:rsid w:val="009D1BAF"/>
    <w:rsid w:val="00A51C42"/>
    <w:rsid w:val="00A57F58"/>
    <w:rsid w:val="00A82C39"/>
    <w:rsid w:val="00A96AA6"/>
    <w:rsid w:val="00B0677D"/>
    <w:rsid w:val="00B74046"/>
    <w:rsid w:val="00B93C58"/>
    <w:rsid w:val="00C00428"/>
    <w:rsid w:val="00CA007D"/>
    <w:rsid w:val="00CA4E03"/>
    <w:rsid w:val="00CB7D12"/>
    <w:rsid w:val="00CF4DA5"/>
    <w:rsid w:val="00D357C9"/>
    <w:rsid w:val="00D420C3"/>
    <w:rsid w:val="00D86723"/>
    <w:rsid w:val="00DE1E9A"/>
    <w:rsid w:val="00DE29DB"/>
    <w:rsid w:val="00E82AA5"/>
    <w:rsid w:val="00EC005D"/>
    <w:rsid w:val="00EC1C32"/>
    <w:rsid w:val="00F14F6E"/>
    <w:rsid w:val="00F56B55"/>
    <w:rsid w:val="00F85F6F"/>
    <w:rsid w:val="00FF0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F5040-4DF8-4E35-9AD7-68E26FCF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EA5"/>
    <w:pPr>
      <w:spacing w:after="120" w:line="240" w:lineRule="auto"/>
    </w:pPr>
    <w:rPr>
      <w:rFonts w:ascii="Calibri" w:hAnsi="Calibri" w:cs="Calibri"/>
    </w:rPr>
  </w:style>
  <w:style w:type="paragraph" w:styleId="Heading1">
    <w:name w:val="heading 1"/>
    <w:basedOn w:val="Normal"/>
    <w:next w:val="Normal"/>
    <w:link w:val="Heading1Char"/>
    <w:autoRedefine/>
    <w:uiPriority w:val="9"/>
    <w:qFormat/>
    <w:rsid w:val="00511EA5"/>
    <w:pPr>
      <w:keepNext/>
      <w:keepLines/>
      <w:spacing w:before="24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autoRedefine/>
    <w:uiPriority w:val="9"/>
    <w:unhideWhenUsed/>
    <w:qFormat/>
    <w:rsid w:val="00511EA5"/>
    <w:pPr>
      <w:keepNext/>
      <w:keepLines/>
      <w:spacing w:before="120" w:after="0"/>
      <w:outlineLvl w:val="1"/>
    </w:pPr>
    <w:rPr>
      <w:rFonts w:asciiTheme="majorHAnsi" w:eastAsiaTheme="majorEastAsia" w:hAnsiTheme="majorHAns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1EA5"/>
    <w:rPr>
      <w:rFonts w:asciiTheme="majorHAnsi" w:eastAsiaTheme="majorEastAsia" w:hAnsiTheme="majorHAnsi" w:cstheme="majorBidi"/>
      <w:szCs w:val="26"/>
    </w:rPr>
  </w:style>
  <w:style w:type="character" w:customStyle="1" w:styleId="Heading1Char">
    <w:name w:val="Heading 1 Char"/>
    <w:basedOn w:val="DefaultParagraphFont"/>
    <w:link w:val="Heading1"/>
    <w:uiPriority w:val="9"/>
    <w:rsid w:val="00511EA5"/>
    <w:rPr>
      <w:rFonts w:asciiTheme="majorHAnsi" w:eastAsiaTheme="majorEastAsia" w:hAnsiTheme="majorHAnsi" w:cstheme="majorBidi"/>
      <w:b/>
      <w:sz w:val="24"/>
      <w:szCs w:val="32"/>
    </w:rPr>
  </w:style>
  <w:style w:type="character" w:customStyle="1" w:styleId="blue">
    <w:name w:val="blue"/>
    <w:basedOn w:val="DefaultParagraphFont"/>
    <w:rsid w:val="00A82C39"/>
    <w:rPr>
      <w:color w:val="0070C0"/>
    </w:rPr>
  </w:style>
  <w:style w:type="paragraph" w:styleId="Header">
    <w:name w:val="header"/>
    <w:basedOn w:val="Normal"/>
    <w:link w:val="HeaderChar"/>
    <w:uiPriority w:val="99"/>
    <w:unhideWhenUsed/>
    <w:rsid w:val="00381931"/>
    <w:pPr>
      <w:tabs>
        <w:tab w:val="center" w:pos="4680"/>
        <w:tab w:val="right" w:pos="9360"/>
      </w:tabs>
      <w:spacing w:after="0"/>
    </w:pPr>
  </w:style>
  <w:style w:type="character" w:customStyle="1" w:styleId="HeaderChar">
    <w:name w:val="Header Char"/>
    <w:basedOn w:val="DefaultParagraphFont"/>
    <w:link w:val="Header"/>
    <w:uiPriority w:val="99"/>
    <w:rsid w:val="00381931"/>
    <w:rPr>
      <w:rFonts w:ascii="Calibri" w:hAnsi="Calibri" w:cs="Calibri"/>
    </w:rPr>
  </w:style>
  <w:style w:type="paragraph" w:styleId="Footer">
    <w:name w:val="footer"/>
    <w:basedOn w:val="Normal"/>
    <w:link w:val="FooterChar"/>
    <w:uiPriority w:val="99"/>
    <w:unhideWhenUsed/>
    <w:rsid w:val="00381931"/>
    <w:pPr>
      <w:tabs>
        <w:tab w:val="center" w:pos="4680"/>
        <w:tab w:val="right" w:pos="9360"/>
      </w:tabs>
      <w:spacing w:after="0"/>
    </w:pPr>
  </w:style>
  <w:style w:type="character" w:customStyle="1" w:styleId="FooterChar">
    <w:name w:val="Footer Char"/>
    <w:basedOn w:val="DefaultParagraphFont"/>
    <w:link w:val="Footer"/>
    <w:uiPriority w:val="99"/>
    <w:rsid w:val="00381931"/>
    <w:rPr>
      <w:rFonts w:ascii="Calibri" w:hAnsi="Calibri" w:cs="Calibri"/>
    </w:rPr>
  </w:style>
  <w:style w:type="paragraph" w:styleId="ListParagraph">
    <w:name w:val="List Paragraph"/>
    <w:basedOn w:val="Normal"/>
    <w:uiPriority w:val="1"/>
    <w:qFormat/>
    <w:rsid w:val="00750DCD"/>
    <w:pPr>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C1133-62C5-4654-9DE6-8430DE61B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12560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Rutledge, Kris -FS</dc:creator>
  <cp:keywords/>
  <dc:description/>
  <cp:lastModifiedBy>Malacas, Charlette -FS</cp:lastModifiedBy>
  <cp:revision>2</cp:revision>
  <dcterms:created xsi:type="dcterms:W3CDTF">2019-03-02T00:17:00Z</dcterms:created>
  <dcterms:modified xsi:type="dcterms:W3CDTF">2019-03-02T00:17:00Z</dcterms:modified>
</cp:coreProperties>
</file>