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A4795" w14:textId="6DC48113" w:rsidR="00851C9E" w:rsidRDefault="00851C9E" w:rsidP="00851C9E">
      <w:pPr>
        <w:rPr>
          <w:b/>
          <w:iCs/>
        </w:rPr>
      </w:pPr>
      <w:bookmarkStart w:id="0" w:name="_GoBack"/>
      <w:bookmarkEnd w:id="0"/>
      <w:r w:rsidRPr="00851C9E">
        <w:rPr>
          <w:b/>
        </w:rPr>
        <w:t>Issue:</w:t>
      </w:r>
      <w:r>
        <w:t xml:space="preserve"> </w:t>
      </w:r>
      <w:r>
        <w:tab/>
        <w:t>You assert</w:t>
      </w:r>
      <w:r w:rsidRPr="00C74DA1">
        <w:t xml:space="preserve"> that the FEIS does not provide for further review and adjustment of timber sale offerin</w:t>
      </w:r>
      <w:r w:rsidR="00005A4F">
        <w:t>gs and other components of the p</w:t>
      </w:r>
      <w:r w:rsidRPr="00C74DA1">
        <w:t>roject in the event of changes to roadless area restrictions und</w:t>
      </w:r>
      <w:r w:rsidR="002601AA">
        <w:t xml:space="preserve">er the Alaska Roadless Rule </w:t>
      </w:r>
      <w:r w:rsidRPr="00C74DA1">
        <w:t>making</w:t>
      </w:r>
      <w:r w:rsidR="00005A4F">
        <w:t>.</w:t>
      </w:r>
      <w:r w:rsidRPr="00C74DA1">
        <w:t xml:space="preserve"> </w:t>
      </w:r>
    </w:p>
    <w:p w14:paraId="31D8E3D7" w14:textId="51D33E8E" w:rsidR="00DE2146" w:rsidRDefault="00DE2146" w:rsidP="00DE2146">
      <w:r w:rsidRPr="00DD1848">
        <w:rPr>
          <w:rFonts w:eastAsia="Calibri"/>
          <w:b/>
        </w:rPr>
        <w:t>Response:</w:t>
      </w:r>
      <w:r>
        <w:rPr>
          <w:rFonts w:eastAsia="Calibri"/>
        </w:rPr>
        <w:t xml:space="preserve"> </w:t>
      </w:r>
      <w:r w:rsidR="00590F56">
        <w:t xml:space="preserve">Prior to the publication of a draft </w:t>
      </w:r>
      <w:r w:rsidRPr="00DC04DB">
        <w:t>EIS on the Alaska Roadless Rulemaking, alternatives remain uncertain, and the effects of those unknown alternatives cannot be meaningfully evaluated.</w:t>
      </w:r>
      <w:r>
        <w:t xml:space="preserve"> The Forest acknowledges that once published it might result in changes to the Forest Plan as well and changes to ongoing projects. </w:t>
      </w:r>
      <w:r w:rsidR="002601AA">
        <w:t>The National Environmental Policy Act (</w:t>
      </w:r>
      <w:r w:rsidR="00607379">
        <w:t>NEPA</w:t>
      </w:r>
      <w:r w:rsidR="002601AA">
        <w:t>)</w:t>
      </w:r>
      <w:r>
        <w:t>sufficiency reviews may need to be conducted at that time which may or may not result in additional NEPA analysis.</w:t>
      </w:r>
      <w:r w:rsidRPr="00DD1848">
        <w:t xml:space="preserve"> </w:t>
      </w:r>
    </w:p>
    <w:p w14:paraId="68A9783C" w14:textId="7F5C231C" w:rsidR="00DE2146" w:rsidRPr="00590F56" w:rsidRDefault="00DE2146" w:rsidP="00DE2146">
      <w:r w:rsidRPr="00590F56">
        <w:rPr>
          <w:b/>
        </w:rPr>
        <w:t>Instruction:</w:t>
      </w:r>
      <w:r w:rsidRPr="00590F56">
        <w:t xml:space="preserve"> In my review of the FEIS I noted the following error which I am instructing the </w:t>
      </w:r>
      <w:r w:rsidR="0083349E" w:rsidRPr="00590F56">
        <w:t xml:space="preserve">Responsible Official </w:t>
      </w:r>
      <w:r w:rsidRPr="00590F56">
        <w:t xml:space="preserve">to </w:t>
      </w:r>
      <w:r w:rsidR="00B27D9E">
        <w:t>correct prior to signing the Record of Decision (ROD)</w:t>
      </w:r>
      <w:r w:rsidR="002601AA">
        <w:t>:</w:t>
      </w:r>
    </w:p>
    <w:p w14:paraId="48767A6D" w14:textId="0CBBF883" w:rsidR="00DE2146" w:rsidRPr="00590F56" w:rsidRDefault="00DE2146" w:rsidP="00DE2146">
      <w:r w:rsidRPr="00590F56">
        <w:t>An errata is needed to remove the following from the FEIS (p. 21)</w:t>
      </w:r>
      <w:r w:rsidR="002601AA">
        <w:t>:</w:t>
      </w:r>
      <w:r w:rsidRPr="00590F56">
        <w:t xml:space="preserve"> </w:t>
      </w:r>
    </w:p>
    <w:p w14:paraId="04437F45" w14:textId="4F9C84B7" w:rsidR="00DE2146" w:rsidRDefault="00DE2146" w:rsidP="00DE2146">
      <w:pPr>
        <w:ind w:left="1440"/>
      </w:pPr>
      <w:r w:rsidRPr="00590F56">
        <w:t xml:space="preserve">“The Alaska Roadless Rule will not make any changes to the 2016 Forest Plan or projects currently being implemented </w:t>
      </w:r>
      <w:r w:rsidR="002601AA">
        <w:t>or proposed for implementation.</w:t>
      </w:r>
      <w:r w:rsidRPr="00590F56">
        <w:t>“</w:t>
      </w:r>
    </w:p>
    <w:p w14:paraId="2C761B1C" w14:textId="77777777" w:rsidR="003B6E49" w:rsidRDefault="003B6E49" w:rsidP="00DE2146">
      <w:pPr>
        <w:pStyle w:val="Heading2"/>
        <w:spacing w:before="0" w:after="120"/>
        <w:rPr>
          <w:b w:val="0"/>
        </w:rPr>
      </w:pPr>
    </w:p>
    <w:p w14:paraId="49FADEFB" w14:textId="77777777" w:rsidR="00DE2146" w:rsidRDefault="00DE2146" w:rsidP="00DE2146">
      <w:pPr>
        <w:pStyle w:val="Heading1"/>
        <w:rPr>
          <w:w w:val="105"/>
        </w:rPr>
      </w:pPr>
      <w:r w:rsidRPr="00DE2146">
        <w:t xml:space="preserve">Issue: </w:t>
      </w:r>
      <w:r w:rsidR="00E00DD6">
        <w:rPr>
          <w:b w:val="0"/>
          <w:w w:val="105"/>
        </w:rPr>
        <w:tab/>
        <w:t xml:space="preserve">You assert </w:t>
      </w:r>
      <w:r w:rsidRPr="00DE2146">
        <w:rPr>
          <w:b w:val="0"/>
          <w:w w:val="105"/>
        </w:rPr>
        <w:t>that the old-growth small sale strategy uses arbitrary metrics that do not adequately take into account market demands and that the old-growth small sale strategy could result in a significant excess of small/micro sales volume at a time when there is a severe shortage of timber for the few remaining larger mills.</w:t>
      </w:r>
      <w:r>
        <w:rPr>
          <w:w w:val="105"/>
        </w:rPr>
        <w:t xml:space="preserve"> </w:t>
      </w:r>
    </w:p>
    <w:p w14:paraId="6A4CA56F" w14:textId="414C1205" w:rsidR="00DE2146" w:rsidRDefault="00DE2146" w:rsidP="0083349E">
      <w:pPr>
        <w:pStyle w:val="Heading2"/>
        <w:spacing w:after="120"/>
        <w:rPr>
          <w:w w:val="105"/>
        </w:rPr>
      </w:pPr>
      <w:r w:rsidRPr="00BB717B">
        <w:t>Response:</w:t>
      </w:r>
      <w:r w:rsidR="0083349E">
        <w:t xml:space="preserve"> </w:t>
      </w:r>
      <w:r w:rsidRPr="0083349E">
        <w:rPr>
          <w:b w:val="0"/>
          <w:w w:val="105"/>
        </w:rPr>
        <w:t>The Selected Alternative offers the most timber volume out of all the alternatives, includi</w:t>
      </w:r>
      <w:r w:rsidR="000E4325">
        <w:rPr>
          <w:b w:val="0"/>
          <w:w w:val="105"/>
        </w:rPr>
        <w:t xml:space="preserve">ng the most old-growth volume. </w:t>
      </w:r>
      <w:r w:rsidRPr="0083349E">
        <w:rPr>
          <w:b w:val="0"/>
          <w:w w:val="105"/>
        </w:rPr>
        <w:t>This would provide the most flexibility and opportunity for the Forest Service to design the size of potential timber offers that could help meet industry demands, market conditions, and local needs identified through public involvement. This involvement included small operators and mill owners on Prince of Wales Island who rely on a dependable supply of small sales. The old-growth small sale strategy, which was analyzed for various volume amounts across alternatives, was developed to meet this need (FEIS</w:t>
      </w:r>
      <w:r w:rsidR="00607379">
        <w:rPr>
          <w:b w:val="0"/>
          <w:w w:val="105"/>
        </w:rPr>
        <w:t>,</w:t>
      </w:r>
      <w:r w:rsidRPr="0083349E">
        <w:rPr>
          <w:b w:val="0"/>
          <w:w w:val="105"/>
        </w:rPr>
        <w:t xml:space="preserve"> p.</w:t>
      </w:r>
      <w:r w:rsidR="00607379">
        <w:rPr>
          <w:b w:val="0"/>
          <w:w w:val="105"/>
        </w:rPr>
        <w:t xml:space="preserve"> </w:t>
      </w:r>
      <w:r w:rsidRPr="0083349E">
        <w:rPr>
          <w:b w:val="0"/>
          <w:w w:val="105"/>
        </w:rPr>
        <w:t>3-104). Th</w:t>
      </w:r>
      <w:r w:rsidR="002601AA">
        <w:rPr>
          <w:b w:val="0"/>
          <w:w w:val="105"/>
        </w:rPr>
        <w:t>e strategy associated with the Selected A</w:t>
      </w:r>
      <w:r w:rsidRPr="0083349E">
        <w:rPr>
          <w:b w:val="0"/>
          <w:w w:val="105"/>
        </w:rPr>
        <w:t xml:space="preserve">lternative would ensure economical old-growth timber is available for small operators within the project area, including availability beyond the 15-year timeline of this project, until sufficient young-growth timber is available to supplement their volume needs while not committing excessive timber resources to small sales only. For small operators, an annual average of 2 </w:t>
      </w:r>
      <w:r w:rsidR="00590F56">
        <w:rPr>
          <w:b w:val="0"/>
          <w:w w:val="105"/>
        </w:rPr>
        <w:t>mmbf</w:t>
      </w:r>
      <w:r w:rsidRPr="0083349E">
        <w:rPr>
          <w:b w:val="0"/>
          <w:w w:val="105"/>
        </w:rPr>
        <w:t xml:space="preserve"> is identified for small sales and future old-growth demand for 25 years, which is the time estimated for the volume of young growth available for harvest to reach sufficient levels, size, and characteristics for this use.</w:t>
      </w:r>
    </w:p>
    <w:p w14:paraId="19737568" w14:textId="7A40CE08" w:rsidR="00DE2146" w:rsidRPr="00BB717B" w:rsidRDefault="00DE2146" w:rsidP="00DE2146">
      <w:pPr>
        <w:rPr>
          <w:rFonts w:eastAsia="Calibri"/>
          <w:b/>
        </w:rPr>
      </w:pPr>
      <w:r>
        <w:t xml:space="preserve">The FEIS and </w:t>
      </w:r>
      <w:r w:rsidR="00607379">
        <w:t xml:space="preserve">draft </w:t>
      </w:r>
      <w:r>
        <w:t>ROD supports the decision which is sensitive to the amount of old-growth volume committed to small sales throu</w:t>
      </w:r>
      <w:r w:rsidR="002601AA">
        <w:t xml:space="preserve">gh the small sale strategy for Alternative 2. </w:t>
      </w:r>
      <w:r>
        <w:t>No</w:t>
      </w:r>
      <w:r w:rsidRPr="0017573A">
        <w:t xml:space="preserve"> evidence </w:t>
      </w:r>
      <w:r>
        <w:t xml:space="preserve">was found </w:t>
      </w:r>
      <w:r w:rsidRPr="0017573A">
        <w:t>that</w:t>
      </w:r>
      <w:r>
        <w:t xml:space="preserve"> indicates</w:t>
      </w:r>
      <w:r w:rsidR="002601AA">
        <w:t xml:space="preserve"> the old-growth strategy for A</w:t>
      </w:r>
      <w:r w:rsidRPr="0017573A">
        <w:t>lternative 2 is excessive for the needs of small sale purchasers</w:t>
      </w:r>
      <w:r>
        <w:t xml:space="preserve">. Furthermore, nothing prohibits larger operators from purchasing small sales. </w:t>
      </w:r>
    </w:p>
    <w:p w14:paraId="7D6BE7B3" w14:textId="77777777" w:rsidR="00DE2146" w:rsidRDefault="00DE2146" w:rsidP="003B6E49">
      <w:pPr>
        <w:rPr>
          <w:b/>
        </w:rPr>
      </w:pPr>
    </w:p>
    <w:p w14:paraId="2FA4C4D3" w14:textId="76CA6DDA" w:rsidR="00E00DD6" w:rsidRDefault="00E00DD6" w:rsidP="00E00DD6">
      <w:pPr>
        <w:pStyle w:val="Heading3"/>
        <w:spacing w:before="0" w:after="120"/>
        <w:rPr>
          <w:rFonts w:asciiTheme="minorHAnsi" w:hAnsiTheme="minorHAnsi" w:cstheme="minorHAnsi"/>
          <w:color w:val="auto"/>
          <w:sz w:val="22"/>
          <w:szCs w:val="22"/>
        </w:rPr>
      </w:pPr>
      <w:r w:rsidRPr="00E00DD6">
        <w:rPr>
          <w:rFonts w:asciiTheme="minorHAnsi" w:hAnsiTheme="minorHAnsi" w:cstheme="minorHAnsi"/>
          <w:b/>
          <w:color w:val="auto"/>
          <w:sz w:val="22"/>
          <w:szCs w:val="22"/>
        </w:rPr>
        <w:lastRenderedPageBreak/>
        <w:t>Issue:</w:t>
      </w:r>
      <w:r w:rsidRPr="00E00DD6">
        <w:rPr>
          <w:rFonts w:asciiTheme="minorHAnsi" w:hAnsiTheme="minorHAnsi" w:cstheme="minorHAnsi"/>
          <w:color w:val="auto"/>
          <w:sz w:val="22"/>
          <w:szCs w:val="22"/>
        </w:rPr>
        <w:t xml:space="preserve"> </w:t>
      </w:r>
      <w:r>
        <w:rPr>
          <w:rFonts w:asciiTheme="minorHAnsi" w:hAnsiTheme="minorHAnsi" w:cstheme="minorHAnsi"/>
          <w:color w:val="auto"/>
          <w:sz w:val="22"/>
          <w:szCs w:val="22"/>
        </w:rPr>
        <w:tab/>
        <w:t>You assert</w:t>
      </w:r>
      <w:r w:rsidRPr="00E00DD6">
        <w:rPr>
          <w:rFonts w:asciiTheme="minorHAnsi" w:hAnsiTheme="minorHAnsi" w:cstheme="minorHAnsi"/>
          <w:color w:val="auto"/>
          <w:sz w:val="22"/>
          <w:szCs w:val="22"/>
        </w:rPr>
        <w:t xml:space="preserve"> that unplanned salvage of old-growth volume should not be counted or otherwise used to the detriment of an adequate volume of planned old- growth s</w:t>
      </w:r>
      <w:r w:rsidR="002601AA">
        <w:rPr>
          <w:rFonts w:asciiTheme="minorHAnsi" w:hAnsiTheme="minorHAnsi" w:cstheme="minorHAnsi"/>
          <w:color w:val="auto"/>
          <w:sz w:val="22"/>
          <w:szCs w:val="22"/>
        </w:rPr>
        <w:t>ale offerings in the FEIS.</w:t>
      </w:r>
    </w:p>
    <w:p w14:paraId="5F1FA3CC" w14:textId="09B0C976" w:rsidR="00E00DD6" w:rsidRPr="00E00DD6" w:rsidRDefault="00E00DD6" w:rsidP="00E00DD6">
      <w:pPr>
        <w:pStyle w:val="Heading2"/>
        <w:spacing w:before="0" w:after="120"/>
        <w:rPr>
          <w:rFonts w:ascii="Calibri" w:hAnsi="Calibri"/>
          <w:b w:val="0"/>
          <w:szCs w:val="20"/>
          <w:lang w:bidi="en-US"/>
        </w:rPr>
      </w:pPr>
      <w:r w:rsidRPr="00BB717B">
        <w:t>Response:</w:t>
      </w:r>
      <w:r>
        <w:t xml:space="preserve"> </w:t>
      </w:r>
      <w:r w:rsidRPr="00E00DD6">
        <w:rPr>
          <w:b w:val="0"/>
        </w:rPr>
        <w:t>Salvage activities may be included in the implementation process a</w:t>
      </w:r>
      <w:r w:rsidR="00590F56">
        <w:rPr>
          <w:b w:val="0"/>
        </w:rPr>
        <w:t>nd as indicated in the FEIS (pp.</w:t>
      </w:r>
      <w:r w:rsidRPr="00E00DD6">
        <w:rPr>
          <w:b w:val="0"/>
        </w:rPr>
        <w:t xml:space="preserve"> 28 and 107) would count towards the project’s allowable harvest. However, </w:t>
      </w:r>
      <w:r w:rsidR="002601AA">
        <w:rPr>
          <w:b w:val="0"/>
        </w:rPr>
        <w:t xml:space="preserve">you do </w:t>
      </w:r>
      <w:r w:rsidRPr="00E00DD6">
        <w:rPr>
          <w:rFonts w:ascii="Calibri" w:hAnsi="Calibri"/>
          <w:b w:val="0"/>
          <w:szCs w:val="20"/>
          <w:lang w:bidi="en-US"/>
        </w:rPr>
        <w:t>highlight a potential situation where catastrophic disturbance events on the forest, such as wind or insect outbreaks, could result in enough timber volume available in a short period of time that may negate the phased implementation of this project (</w:t>
      </w:r>
      <w:r w:rsidRPr="00590F56">
        <w:rPr>
          <w:rFonts w:ascii="Calibri" w:hAnsi="Calibri"/>
          <w:b w:val="0"/>
          <w:i/>
          <w:szCs w:val="20"/>
          <w:lang w:bidi="en-US"/>
        </w:rPr>
        <w:t>e.g.</w:t>
      </w:r>
      <w:r w:rsidRPr="00E00DD6">
        <w:rPr>
          <w:rFonts w:ascii="Calibri" w:hAnsi="Calibri"/>
          <w:b w:val="0"/>
          <w:szCs w:val="20"/>
          <w:lang w:bidi="en-US"/>
        </w:rPr>
        <w:t xml:space="preserve"> more volume was damaged than allowed for during the entire 15 years and is counted against the volume to be offered). </w:t>
      </w:r>
    </w:p>
    <w:p w14:paraId="5BDBBE72" w14:textId="063D7B5F" w:rsidR="00E00DD6" w:rsidRPr="00E00DD6" w:rsidRDefault="00E00DD6" w:rsidP="00E00DD6">
      <w:pPr>
        <w:rPr>
          <w:szCs w:val="20"/>
          <w:lang w:bidi="en-US"/>
        </w:rPr>
      </w:pPr>
      <w:r w:rsidRPr="00E00DD6">
        <w:t xml:space="preserve">The analysis for the FEIS considered the small amounts of salvage that regularly occur within the project area. These small events result in a small amount of volume and most are sold as micro sales and were incorporated into the analysis of other resources. However, catastrophic events cannot be predicted and the effects may be large ranging depending on the size and location. Regularly occurring salvage harvest activities were addressed to the extent possible for the analysis for watershed function and wildlife, but no assumptions were made as to the frequency or magnitude of catastrophic events. When and if any occur, salvage harvest opportunities will be considered during the implementation process, which allows for checking against the FEIS </w:t>
      </w:r>
      <w:r w:rsidR="002601AA">
        <w:t>–</w:t>
      </w:r>
      <w:r w:rsidRPr="00E00DD6">
        <w:t xml:space="preserve"> </w:t>
      </w:r>
      <w:r w:rsidR="002601AA">
        <w:t>(</w:t>
      </w:r>
      <w:r w:rsidRPr="00E00DD6">
        <w:t>“The FEIS analyzes the effects of alternatives and will need to be checked to verify that the effects of the proposed activity is within the effects analyzed f</w:t>
      </w:r>
      <w:r w:rsidR="002601AA">
        <w:t>or the Selected Alternative</w:t>
      </w:r>
      <w:r w:rsidR="00590F56">
        <w:t>” (d</w:t>
      </w:r>
      <w:r w:rsidRPr="00E00DD6">
        <w:t>raft ROD Appendix 2)</w:t>
      </w:r>
      <w:r w:rsidR="002601AA">
        <w:t>).</w:t>
      </w:r>
      <w:r w:rsidRPr="00E00DD6">
        <w:rPr>
          <w:szCs w:val="20"/>
          <w:lang w:bidi="en-US"/>
        </w:rPr>
        <w:t xml:space="preserve"> </w:t>
      </w:r>
    </w:p>
    <w:p w14:paraId="1826067D" w14:textId="232D02D1" w:rsidR="00E00DD6" w:rsidRPr="00590F56" w:rsidRDefault="002601AA" w:rsidP="00E00DD6">
      <w:r>
        <w:t>You are</w:t>
      </w:r>
      <w:r w:rsidR="00E00DD6">
        <w:t xml:space="preserve"> correct in that the </w:t>
      </w:r>
      <w:r w:rsidR="00607379">
        <w:t xml:space="preserve">draft </w:t>
      </w:r>
      <w:r w:rsidR="00E00DD6">
        <w:t xml:space="preserve">ROD would benefit from additional clarification as to how potential salvage harvest associated with catastrophic type disturbance events that create large amounts of </w:t>
      </w:r>
      <w:r>
        <w:t>blow-down</w:t>
      </w:r>
      <w:r w:rsidR="00E00DD6">
        <w:t xml:space="preserve">, </w:t>
      </w:r>
      <w:r>
        <w:t xml:space="preserve">may </w:t>
      </w:r>
      <w:r w:rsidR="00E00DD6">
        <w:t>count towards the project’s phased implementation of both old-growth and young-</w:t>
      </w:r>
      <w:r w:rsidR="00E00DD6" w:rsidRPr="00590F56">
        <w:t xml:space="preserve">growth harvest. </w:t>
      </w:r>
    </w:p>
    <w:p w14:paraId="05D3B28B" w14:textId="6003F667" w:rsidR="00E00DD6" w:rsidRPr="00590F56" w:rsidRDefault="00E00DD6" w:rsidP="00E00DD6">
      <w:pPr>
        <w:pStyle w:val="Heading2"/>
        <w:rPr>
          <w:b w:val="0"/>
          <w:lang w:bidi="en-US"/>
        </w:rPr>
      </w:pPr>
      <w:r w:rsidRPr="00590F56">
        <w:t>Instruction</w:t>
      </w:r>
      <w:r w:rsidRPr="00590F56">
        <w:rPr>
          <w:b w:val="0"/>
        </w:rPr>
        <w:t xml:space="preserve">: </w:t>
      </w:r>
      <w:r w:rsidRPr="00590F56">
        <w:rPr>
          <w:b w:val="0"/>
          <w:lang w:bidi="en-US"/>
        </w:rPr>
        <w:t xml:space="preserve">The </w:t>
      </w:r>
      <w:r w:rsidR="0083349E" w:rsidRPr="00590F56">
        <w:rPr>
          <w:b w:val="0"/>
          <w:lang w:bidi="en-US"/>
        </w:rPr>
        <w:t xml:space="preserve">Responsible Official </w:t>
      </w:r>
      <w:r w:rsidRPr="00590F56">
        <w:rPr>
          <w:b w:val="0"/>
          <w:lang w:bidi="en-US"/>
        </w:rPr>
        <w:t>needs to address in the final decision how catastrophic blowdown would be treated if it occurs. This clarification would assist with future management actions. Flexibility could</w:t>
      </w:r>
      <w:r w:rsidR="003A7FC8" w:rsidRPr="00590F56">
        <w:rPr>
          <w:b w:val="0"/>
          <w:lang w:bidi="en-US"/>
        </w:rPr>
        <w:t xml:space="preserve"> be</w:t>
      </w:r>
      <w:r w:rsidRPr="00590F56">
        <w:rPr>
          <w:b w:val="0"/>
          <w:lang w:bidi="en-US"/>
        </w:rPr>
        <w:t xml:space="preserve"> allowed to decide during the Implementation Plan process whether it would be part of the timber offered from this decision or, if a large enough area, it should be covered under another analysis. </w:t>
      </w:r>
    </w:p>
    <w:p w14:paraId="25753CC3" w14:textId="3BA5546F" w:rsidR="00E00DD6" w:rsidRPr="00590F56" w:rsidRDefault="00E00DD6" w:rsidP="00E00DD6">
      <w:pPr>
        <w:pStyle w:val="Heading2"/>
        <w:spacing w:before="0" w:after="120"/>
        <w:rPr>
          <w:szCs w:val="22"/>
          <w:lang w:bidi="en-US"/>
        </w:rPr>
      </w:pPr>
      <w:r w:rsidRPr="00590F56">
        <w:rPr>
          <w:b w:val="0"/>
          <w:szCs w:val="22"/>
          <w:lang w:bidi="en-US"/>
        </w:rPr>
        <w:t xml:space="preserve">I recommend the </w:t>
      </w:r>
      <w:r w:rsidR="0083349E" w:rsidRPr="00590F56">
        <w:rPr>
          <w:b w:val="0"/>
          <w:szCs w:val="22"/>
          <w:lang w:bidi="en-US"/>
        </w:rPr>
        <w:t xml:space="preserve">Responsible Official </w:t>
      </w:r>
      <w:r w:rsidRPr="00590F56">
        <w:rPr>
          <w:b w:val="0"/>
          <w:szCs w:val="22"/>
          <w:lang w:bidi="en-US"/>
        </w:rPr>
        <w:t>consider splitting Activity Card 15 into two separate cards (15a for individual trees/ small patches and 15b for large catastrophic events</w:t>
      </w:r>
      <w:r w:rsidR="002601AA">
        <w:rPr>
          <w:b w:val="0"/>
          <w:szCs w:val="22"/>
          <w:lang w:bidi="en-US"/>
        </w:rPr>
        <w:t xml:space="preserve">) </w:t>
      </w:r>
      <w:r w:rsidRPr="00590F56">
        <w:rPr>
          <w:b w:val="0"/>
          <w:szCs w:val="22"/>
          <w:lang w:bidi="en-US"/>
        </w:rPr>
        <w:t>or adding it to one of the decision trees for the Final ROD.</w:t>
      </w:r>
      <w:r w:rsidRPr="00590F56">
        <w:rPr>
          <w:szCs w:val="22"/>
          <w:lang w:bidi="en-US"/>
        </w:rPr>
        <w:t xml:space="preserve"> </w:t>
      </w:r>
    </w:p>
    <w:p w14:paraId="1DA8DC82" w14:textId="635D8FF0" w:rsidR="00E00DD6" w:rsidRPr="00E00DD6" w:rsidRDefault="00E00DD6" w:rsidP="00E00DD6">
      <w:pPr>
        <w:rPr>
          <w:color w:val="0033CC"/>
          <w:lang w:bidi="en-US"/>
        </w:rPr>
      </w:pPr>
      <w:r w:rsidRPr="00590F56">
        <w:rPr>
          <w:lang w:bidi="en-US"/>
        </w:rPr>
        <w:t xml:space="preserve">Special consideration would need to be given if the catastrophic damage was large enough to negate the phased implementation of this project </w:t>
      </w:r>
      <w:r w:rsidR="002601AA">
        <w:rPr>
          <w:lang w:bidi="en-US"/>
        </w:rPr>
        <w:t>(</w:t>
      </w:r>
      <w:r w:rsidRPr="002601AA">
        <w:rPr>
          <w:i/>
          <w:lang w:bidi="en-US"/>
        </w:rPr>
        <w:t>e.g.</w:t>
      </w:r>
      <w:r w:rsidRPr="00590F56">
        <w:rPr>
          <w:lang w:bidi="en-US"/>
        </w:rPr>
        <w:t xml:space="preserve"> more volume was damaged than allowed for during the entire 15 years and is counted against the volume to be offered</w:t>
      </w:r>
      <w:r w:rsidR="002601AA">
        <w:rPr>
          <w:lang w:bidi="en-US"/>
        </w:rPr>
        <w:t>)</w:t>
      </w:r>
      <w:r w:rsidRPr="00590F56">
        <w:rPr>
          <w:lang w:bidi="en-US"/>
        </w:rPr>
        <w:t>.</w:t>
      </w:r>
    </w:p>
    <w:p w14:paraId="72202EA1" w14:textId="77777777" w:rsidR="00E00DD6" w:rsidRDefault="00E00DD6" w:rsidP="003B6E49">
      <w:pPr>
        <w:rPr>
          <w:b/>
        </w:rPr>
      </w:pPr>
    </w:p>
    <w:p w14:paraId="57A9DAA9" w14:textId="77777777" w:rsidR="00E00DD6" w:rsidRDefault="00E00DD6" w:rsidP="00E00DD6">
      <w:pPr>
        <w:rPr>
          <w:w w:val="110"/>
        </w:rPr>
      </w:pPr>
      <w:r>
        <w:rPr>
          <w:b/>
        </w:rPr>
        <w:t xml:space="preserve">Issue: </w:t>
      </w:r>
      <w:r>
        <w:tab/>
        <w:t>You assert</w:t>
      </w:r>
      <w:r w:rsidRPr="00ED4F79">
        <w:t xml:space="preserve"> that the conclusion in the FEIS that deer populations tend to decline in the long-term in timber harvest areas as the canopy closes does not appear to be supported by empirical evidence</w:t>
      </w:r>
      <w:r w:rsidRPr="00973BAD">
        <w:rPr>
          <w:w w:val="110"/>
        </w:rPr>
        <w:t>.</w:t>
      </w:r>
    </w:p>
    <w:p w14:paraId="2A366F1F" w14:textId="71B6A9D0" w:rsidR="009F067E" w:rsidRDefault="009F067E" w:rsidP="009F067E">
      <w:pPr>
        <w:rPr>
          <w:lang w:bidi="en-US"/>
        </w:rPr>
      </w:pPr>
      <w:r w:rsidRPr="009F067E">
        <w:rPr>
          <w:b/>
        </w:rPr>
        <w:t>Response:</w:t>
      </w:r>
      <w:r>
        <w:t xml:space="preserve">  </w:t>
      </w:r>
      <w:r w:rsidR="002601AA">
        <w:t>The FEIS (pp.</w:t>
      </w:r>
      <w:r w:rsidR="00607379">
        <w:t xml:space="preserve"> 3-91 through 3-</w:t>
      </w:r>
      <w:r w:rsidR="002601AA">
        <w:t xml:space="preserve">201 and </w:t>
      </w:r>
      <w:r w:rsidRPr="00C97379">
        <w:t xml:space="preserve">pp. </w:t>
      </w:r>
      <w:r w:rsidR="00607379">
        <w:t>3-</w:t>
      </w:r>
      <w:r w:rsidRPr="00C97379">
        <w:t>218</w:t>
      </w:r>
      <w:r w:rsidR="00607379">
        <w:t xml:space="preserve"> through 3</w:t>
      </w:r>
      <w:r w:rsidRPr="00C97379">
        <w:t xml:space="preserve">-229, </w:t>
      </w:r>
      <w:r w:rsidR="002601AA">
        <w:t xml:space="preserve">and </w:t>
      </w:r>
      <w:r w:rsidRPr="00C97379">
        <w:t xml:space="preserve">Appendix D) includes discussion on the </w:t>
      </w:r>
      <w:r w:rsidR="000E4325">
        <w:t xml:space="preserve">environmental impacts on deer. </w:t>
      </w:r>
      <w:r w:rsidRPr="00C97379">
        <w:t>The discussion includes stem inclusion stage of stands, potential short term beneficial effects to deer habitat (increased forage) of harvesting stands, change in abundance and distribution of deer, deer mortali</w:t>
      </w:r>
      <w:r w:rsidR="000E4325">
        <w:t xml:space="preserve">ty, and deer and wolf harvest. </w:t>
      </w:r>
      <w:r w:rsidRPr="00C97379">
        <w:t xml:space="preserve">The discussion is supported by </w:t>
      </w:r>
      <w:r>
        <w:t xml:space="preserve">scientific data, </w:t>
      </w:r>
      <w:r w:rsidR="002601AA">
        <w:t>Alaska Department of Fish and Game (</w:t>
      </w:r>
      <w:r>
        <w:t>AD</w:t>
      </w:r>
      <w:r w:rsidR="003A7FC8">
        <w:t>F</w:t>
      </w:r>
      <w:r>
        <w:t>&amp;G</w:t>
      </w:r>
      <w:r w:rsidR="002601AA">
        <w:t>)</w:t>
      </w:r>
      <w:r>
        <w:t xml:space="preserve"> Deer Management Reports, and local information received during opportunities to comment</w:t>
      </w:r>
      <w:r w:rsidRPr="00C97379">
        <w:t xml:space="preserve"> as indicated in the FEIS and project record.</w:t>
      </w:r>
      <w:r w:rsidRPr="00EB5BDA">
        <w:rPr>
          <w:lang w:bidi="en-US"/>
        </w:rPr>
        <w:t xml:space="preserve"> </w:t>
      </w:r>
    </w:p>
    <w:p w14:paraId="0551B70E" w14:textId="2C313100" w:rsidR="009F067E" w:rsidRPr="00DD7653" w:rsidRDefault="00216F86" w:rsidP="009F067E">
      <w:pPr>
        <w:rPr>
          <w:lang w:bidi="en-US"/>
        </w:rPr>
      </w:pPr>
      <w:r>
        <w:rPr>
          <w:lang w:bidi="en-US"/>
        </w:rPr>
        <w:t>While the FEIS</w:t>
      </w:r>
      <w:r w:rsidR="009F067E" w:rsidRPr="00DD7653">
        <w:rPr>
          <w:lang w:bidi="en-US"/>
        </w:rPr>
        <w:t xml:space="preserve"> does not specifically refer to the forage abundance provided by the “edge effect” it does in fact include many qualitative referrals to the potential short term benefits to some species by reverting the stem exclusion stands back into the stand initiation stage (</w:t>
      </w:r>
      <w:r w:rsidR="009F067E" w:rsidRPr="002601AA">
        <w:rPr>
          <w:i/>
          <w:lang w:bidi="en-US"/>
        </w:rPr>
        <w:t>i.e.</w:t>
      </w:r>
      <w:r w:rsidR="009F067E" w:rsidRPr="00DD7653">
        <w:rPr>
          <w:lang w:bidi="en-US"/>
        </w:rPr>
        <w:t xml:space="preserve"> clearcutting of the older young growth stands) including </w:t>
      </w:r>
      <w:r w:rsidR="009F067E" w:rsidRPr="00DD7653">
        <w:t>any acres converted from stem exclusion back into the early seral stage would be assumed to provide a beneficial effect to deer and thus wolves</w:t>
      </w:r>
      <w:r w:rsidR="009F067E" w:rsidRPr="00DD7653">
        <w:rPr>
          <w:lang w:bidi="en-US"/>
        </w:rPr>
        <w:t xml:space="preserve">. </w:t>
      </w:r>
    </w:p>
    <w:p w14:paraId="2AE84FCE" w14:textId="3C527D9A" w:rsidR="009F067E" w:rsidRPr="00C97379" w:rsidRDefault="002601AA" w:rsidP="009F067E">
      <w:r>
        <w:t>The short-</w:t>
      </w:r>
      <w:r w:rsidR="009F067E" w:rsidRPr="00DD7653">
        <w:t>term benefits of harvesting are supported in the FEIS as clearcutting does produce an immediate flush of high quality understory biomass, though it typically only lasts 10 to 25 years, and is not available to deer during periods</w:t>
      </w:r>
      <w:r>
        <w:t xml:space="preserve"> of heavy snow (Alaback 2010). </w:t>
      </w:r>
      <w:r w:rsidR="009F067E" w:rsidRPr="00DD7653">
        <w:t>The FEIS also states that the Forest Plan ROD also indicates that thinning of young-growth stands in the stem exclusion stage will also improve the forage for deer for 15 to 25 years (Chapter 3 of the Forest Plan FEIS).</w:t>
      </w:r>
    </w:p>
    <w:p w14:paraId="2D4A62C3" w14:textId="321038A7" w:rsidR="009F067E" w:rsidRPr="00EE3EED" w:rsidRDefault="009F067E" w:rsidP="009F067E">
      <w:r>
        <w:t>I find that t</w:t>
      </w:r>
      <w:r w:rsidRPr="00EE3EED">
        <w:t>he FEIS and pr</w:t>
      </w:r>
      <w:r w:rsidR="002601AA">
        <w:t>oject record adequately discuss</w:t>
      </w:r>
      <w:r w:rsidRPr="00EE3EED">
        <w:t xml:space="preserve"> the environmental impacts on deer.  In summary, the draft decision fully complies with the applicable rules.</w:t>
      </w:r>
    </w:p>
    <w:p w14:paraId="19BB8CE9" w14:textId="77777777" w:rsidR="00E00DD6" w:rsidRDefault="00E00DD6" w:rsidP="003B6E49">
      <w:pPr>
        <w:rPr>
          <w:b/>
        </w:rPr>
      </w:pPr>
    </w:p>
    <w:p w14:paraId="4B1997B7" w14:textId="77777777" w:rsidR="009F067E" w:rsidRPr="009F067E" w:rsidRDefault="009F067E" w:rsidP="009F067E">
      <w:pPr>
        <w:pStyle w:val="Heading3"/>
        <w:rPr>
          <w:rFonts w:asciiTheme="minorHAnsi" w:hAnsiTheme="minorHAnsi" w:cstheme="minorHAnsi"/>
          <w:color w:val="auto"/>
          <w:sz w:val="22"/>
          <w:szCs w:val="22"/>
          <w:lang w:bidi="en-US"/>
        </w:rPr>
      </w:pPr>
      <w:r w:rsidRPr="009F067E">
        <w:rPr>
          <w:rFonts w:asciiTheme="minorHAnsi" w:hAnsiTheme="minorHAnsi" w:cstheme="minorHAnsi"/>
          <w:b/>
          <w:color w:val="auto"/>
          <w:sz w:val="22"/>
          <w:szCs w:val="22"/>
          <w:lang w:bidi="en-US"/>
        </w:rPr>
        <w:t>Issue:</w:t>
      </w:r>
      <w:r>
        <w:rPr>
          <w:rFonts w:asciiTheme="minorHAnsi" w:hAnsiTheme="minorHAnsi" w:cstheme="minorHAnsi"/>
          <w:color w:val="auto"/>
          <w:sz w:val="22"/>
          <w:szCs w:val="22"/>
          <w:lang w:bidi="en-US"/>
        </w:rPr>
        <w:t xml:space="preserve"> </w:t>
      </w:r>
      <w:r>
        <w:rPr>
          <w:rFonts w:asciiTheme="minorHAnsi" w:hAnsiTheme="minorHAnsi" w:cstheme="minorHAnsi"/>
          <w:color w:val="auto"/>
          <w:sz w:val="22"/>
          <w:szCs w:val="22"/>
          <w:lang w:bidi="en-US"/>
        </w:rPr>
        <w:tab/>
        <w:t>You assert</w:t>
      </w:r>
      <w:r w:rsidRPr="009F067E">
        <w:rPr>
          <w:rFonts w:asciiTheme="minorHAnsi" w:hAnsiTheme="minorHAnsi" w:cstheme="minorHAnsi"/>
          <w:color w:val="auto"/>
          <w:sz w:val="22"/>
          <w:szCs w:val="22"/>
          <w:lang w:bidi="en-US"/>
        </w:rPr>
        <w:t xml:space="preserve"> that the FEIS includes insufficient analysis or discussion of the negative economic impacts continued timber harvest declines will have for local communities.</w:t>
      </w:r>
    </w:p>
    <w:p w14:paraId="2FDE35DA" w14:textId="77777777" w:rsidR="009F067E" w:rsidRDefault="009F067E" w:rsidP="009F067E">
      <w:pPr>
        <w:pStyle w:val="Heading2"/>
      </w:pPr>
      <w:r w:rsidRPr="00BB717B">
        <w:t>Response:</w:t>
      </w:r>
    </w:p>
    <w:p w14:paraId="7AC4B506" w14:textId="5048475F" w:rsidR="009F067E" w:rsidRDefault="009F067E" w:rsidP="009F067E">
      <w:pPr>
        <w:rPr>
          <w:rFonts w:eastAsia="Calibri"/>
          <w:b/>
        </w:rPr>
      </w:pPr>
      <w:r>
        <w:t>T</w:t>
      </w:r>
      <w:r w:rsidRPr="00267F01">
        <w:t>he FEIS provide</w:t>
      </w:r>
      <w:r>
        <w:t>s</w:t>
      </w:r>
      <w:r w:rsidRPr="00267F01">
        <w:t xml:space="preserve"> discussion and analysis of the correlation between timber harvest levels associated with each alternative and local timber in</w:t>
      </w:r>
      <w:r w:rsidR="000E4325">
        <w:t xml:space="preserve">dustry jobs. </w:t>
      </w:r>
      <w:r w:rsidR="00590F56">
        <w:t>Table 19 (FEIS</w:t>
      </w:r>
      <w:r w:rsidR="00607379">
        <w:t>,</w:t>
      </w:r>
      <w:r w:rsidRPr="00267F01">
        <w:t xml:space="preserve"> p. 118) portrays the relationship between old growth h</w:t>
      </w:r>
      <w:r w:rsidR="000E4325">
        <w:t xml:space="preserve">arvest amounts and local jobs. </w:t>
      </w:r>
      <w:r w:rsidRPr="00267F01">
        <w:t xml:space="preserve">Table </w:t>
      </w:r>
      <w:r w:rsidR="00975EB3">
        <w:t>20</w:t>
      </w:r>
      <w:r w:rsidR="00590F56">
        <w:t xml:space="preserve"> (FEIS</w:t>
      </w:r>
      <w:r w:rsidR="00607379">
        <w:t>,</w:t>
      </w:r>
      <w:r w:rsidRPr="00267F01">
        <w:t xml:space="preserve"> p. 119) shows the relationship between alternatives fo</w:t>
      </w:r>
      <w:r w:rsidR="000E4325">
        <w:t xml:space="preserve">r young growth and local jobs. </w:t>
      </w:r>
      <w:r>
        <w:t>T</w:t>
      </w:r>
      <w:r w:rsidRPr="00267F01">
        <w:t>he FEIS</w:t>
      </w:r>
      <w:r w:rsidR="00590F56">
        <w:t xml:space="preserve"> (p.</w:t>
      </w:r>
      <w:r>
        <w:t xml:space="preserve"> 117)</w:t>
      </w:r>
      <w:r w:rsidRPr="00267F01">
        <w:t xml:space="preserve">, acknowledges that “alternative 1 would not support timber-related jobs since no timber would be offered”.  </w:t>
      </w:r>
    </w:p>
    <w:p w14:paraId="6761964C" w14:textId="59B0BAE0" w:rsidR="009F067E" w:rsidRDefault="002601AA" w:rsidP="009F067E">
      <w:pPr>
        <w:rPr>
          <w:rFonts w:ascii="Times New Roman" w:hAnsi="Times New Roman"/>
          <w:color w:val="000000"/>
          <w:sz w:val="23"/>
          <w:szCs w:val="23"/>
        </w:rPr>
      </w:pPr>
      <w:r>
        <w:rPr>
          <w:lang w:bidi="en-US"/>
        </w:rPr>
        <w:t>This F</w:t>
      </w:r>
      <w:r w:rsidR="009F067E">
        <w:rPr>
          <w:lang w:bidi="en-US"/>
        </w:rPr>
        <w:t>orest-level issue was addressed in the responses to objections to the 2016 Tongass Forest Plan Amendment. The FEIS (Chapter 1, p.5) Purpose and Need and the preferred alternative (Alternative 2) both specify that the</w:t>
      </w:r>
      <w:r w:rsidR="00590F56">
        <w:rPr>
          <w:lang w:bidi="en-US"/>
        </w:rPr>
        <w:t xml:space="preserve"> POW</w:t>
      </w:r>
      <w:r w:rsidR="009F067E">
        <w:rPr>
          <w:lang w:bidi="en-US"/>
        </w:rPr>
        <w:t>LLA Project will</w:t>
      </w:r>
      <w:r w:rsidR="009F067E" w:rsidRPr="00A97F53">
        <w:rPr>
          <w:lang w:bidi="en-US"/>
        </w:rPr>
        <w:t xml:space="preserve"> contribute to the economic viability of Prince of Wales area communities by providing a stable level of forest products to help maintain the expertise and infrastructure of the timber industry.</w:t>
      </w:r>
      <w:r w:rsidR="009F067E">
        <w:rPr>
          <w:lang w:bidi="en-US"/>
        </w:rPr>
        <w:t xml:space="preserve"> </w:t>
      </w:r>
      <w:r w:rsidR="009F067E" w:rsidRPr="00A97F53">
        <w:rPr>
          <w:lang w:bidi="en-US"/>
        </w:rPr>
        <w:t xml:space="preserve">The need for </w:t>
      </w:r>
      <w:r w:rsidR="009F067E">
        <w:rPr>
          <w:lang w:bidi="en-US"/>
        </w:rPr>
        <w:t xml:space="preserve">the </w:t>
      </w:r>
      <w:r w:rsidR="009F067E" w:rsidRPr="00A97F53">
        <w:rPr>
          <w:lang w:bidi="en-US"/>
        </w:rPr>
        <w:t>POWLLA Project comes in part from the Forest Service’s obligation</w:t>
      </w:r>
      <w:r w:rsidR="009F067E">
        <w:rPr>
          <w:lang w:bidi="en-US"/>
        </w:rPr>
        <w:t xml:space="preserve"> under </w:t>
      </w:r>
      <w:r>
        <w:rPr>
          <w:lang w:bidi="en-US"/>
        </w:rPr>
        <w:t xml:space="preserve">the </w:t>
      </w:r>
      <w:r w:rsidR="009F067E">
        <w:rPr>
          <w:lang w:bidi="en-US"/>
        </w:rPr>
        <w:t>T</w:t>
      </w:r>
      <w:r w:rsidR="00590F56">
        <w:rPr>
          <w:lang w:bidi="en-US"/>
        </w:rPr>
        <w:t>ongass Timber Reform Act</w:t>
      </w:r>
      <w:r w:rsidR="009F067E" w:rsidRPr="00A97F53">
        <w:rPr>
          <w:lang w:bidi="en-US"/>
        </w:rPr>
        <w:t xml:space="preserve"> to seek to provide a supply of timber from the Tongass National Forest that meets market demand annually and for the planning cycle</w:t>
      </w:r>
      <w:r w:rsidR="009F067E">
        <w:rPr>
          <w:lang w:bidi="en-US"/>
        </w:rPr>
        <w:t>s. Alternative 2, the preferred alternative, was selected in part because it provides the most timber volume of the alternatives.</w:t>
      </w:r>
      <w:r w:rsidR="009F067E" w:rsidRPr="0041203E">
        <w:rPr>
          <w:rFonts w:ascii="Times New Roman" w:hAnsi="Times New Roman"/>
          <w:color w:val="000000"/>
          <w:sz w:val="23"/>
          <w:szCs w:val="23"/>
        </w:rPr>
        <w:t xml:space="preserve"> </w:t>
      </w:r>
      <w:r w:rsidR="009F067E" w:rsidRPr="0041203E">
        <w:rPr>
          <w:lang w:bidi="en-US"/>
        </w:rPr>
        <w:t>It is not practical or feasible – and not withi</w:t>
      </w:r>
      <w:r>
        <w:rPr>
          <w:lang w:bidi="en-US"/>
        </w:rPr>
        <w:t>n the scope of the purpose and</w:t>
      </w:r>
      <w:r w:rsidR="009F067E" w:rsidRPr="0041203E">
        <w:rPr>
          <w:lang w:bidi="en-US"/>
        </w:rPr>
        <w:t xml:space="preserve"> need – to study the full range of positive and negative economic effects of every potential outcome of the Amended Plan</w:t>
      </w:r>
      <w:r w:rsidR="00590F56">
        <w:rPr>
          <w:lang w:bidi="en-US"/>
        </w:rPr>
        <w:t>.</w:t>
      </w:r>
      <w:r w:rsidR="009F067E">
        <w:rPr>
          <w:lang w:bidi="en-US"/>
        </w:rPr>
        <w:t xml:space="preserve"> </w:t>
      </w:r>
      <w:r w:rsidR="009F067E" w:rsidRPr="004808BA">
        <w:rPr>
          <w:lang w:bidi="en-US"/>
        </w:rPr>
        <w:t>NEPA regulations do not require the Forest Service to study the effects of a failed alternative.</w:t>
      </w:r>
      <w:r w:rsidR="009F067E" w:rsidRPr="0041203E">
        <w:rPr>
          <w:rFonts w:ascii="Times New Roman" w:hAnsi="Times New Roman"/>
          <w:color w:val="000000"/>
          <w:sz w:val="23"/>
          <w:szCs w:val="23"/>
        </w:rPr>
        <w:t xml:space="preserve"> </w:t>
      </w:r>
    </w:p>
    <w:p w14:paraId="25CFC9D6" w14:textId="5E4D0EFE" w:rsidR="009F067E" w:rsidRDefault="00590F56" w:rsidP="009F067E">
      <w:pPr>
        <w:rPr>
          <w:rFonts w:ascii="Times New Roman" w:hAnsi="Times New Roman"/>
          <w:color w:val="000000"/>
          <w:sz w:val="23"/>
          <w:szCs w:val="23"/>
        </w:rPr>
      </w:pPr>
      <w:r>
        <w:t xml:space="preserve">The Forest Plan </w:t>
      </w:r>
      <w:r w:rsidR="009F067E" w:rsidRPr="002435E6">
        <w:t>Logging Syst</w:t>
      </w:r>
      <w:r>
        <w:t>ems and Transportation Analysis</w:t>
      </w:r>
      <w:r w:rsidR="009F067E">
        <w:rPr>
          <w:sz w:val="20"/>
          <w:szCs w:val="20"/>
        </w:rPr>
        <w:t xml:space="preserve"> </w:t>
      </w:r>
      <w:r w:rsidR="009F067E" w:rsidRPr="003A6429">
        <w:t>was refined to attempt to identify those stands which would have the most economic value. The section - Factors Affecting the Economics of Timber Offers</w:t>
      </w:r>
      <w:r w:rsidR="009F067E">
        <w:t xml:space="preserve"> (p</w:t>
      </w:r>
      <w:r>
        <w:t>p</w:t>
      </w:r>
      <w:r w:rsidR="009F067E">
        <w:t>.</w:t>
      </w:r>
      <w:r>
        <w:t xml:space="preserve"> </w:t>
      </w:r>
      <w:r w:rsidR="009F067E">
        <w:t xml:space="preserve">3-113 to 3-116) </w:t>
      </w:r>
      <w:r w:rsidR="009F067E" w:rsidRPr="003A6429">
        <w:t>further discuss</w:t>
      </w:r>
      <w:r w:rsidR="000231A2">
        <w:t>es</w:t>
      </w:r>
      <w:r w:rsidR="009F067E" w:rsidRPr="003A6429">
        <w:t xml:space="preserve"> potential ways to influence the economics and costs for future timber</w:t>
      </w:r>
      <w:r w:rsidR="000231A2">
        <w:t xml:space="preserve"> harvest offers from the P</w:t>
      </w:r>
      <w:r w:rsidR="009F067E" w:rsidRPr="003A6429">
        <w:t>roject.</w:t>
      </w:r>
    </w:p>
    <w:p w14:paraId="2F7EE39F" w14:textId="5977D446" w:rsidR="009F067E" w:rsidRPr="002E3FE2" w:rsidRDefault="009F067E" w:rsidP="009F067E">
      <w:pPr>
        <w:rPr>
          <w:rFonts w:eastAsia="Calibri"/>
          <w:b/>
        </w:rPr>
      </w:pPr>
      <w:r w:rsidRPr="008A6174">
        <w:t xml:space="preserve">The </w:t>
      </w:r>
      <w:r w:rsidR="000E4325">
        <w:t>Tongass National Forest conducted</w:t>
      </w:r>
      <w:r w:rsidRPr="008A6174">
        <w:t xml:space="preserve"> regular monitoring through a formal monitoring and evaluation program, wh</w:t>
      </w:r>
      <w:r w:rsidR="000E4325">
        <w:t>ich included an annual monitoring report. The results of that monitoring was</w:t>
      </w:r>
      <w:r w:rsidR="000E4325" w:rsidRPr="008A6174">
        <w:t xml:space="preserve"> provided in the Annual Tongass Monitoring and Evaluation Report.</w:t>
      </w:r>
      <w:r w:rsidR="000E4325">
        <w:t xml:space="preserve"> In 2016 </w:t>
      </w:r>
      <w:r w:rsidR="00607379">
        <w:t xml:space="preserve">Forest Plan </w:t>
      </w:r>
      <w:r w:rsidR="000E4325">
        <w:t>the Tongass met the intent of the 2012 Planning Rule by converting their monitoring plan to</w:t>
      </w:r>
      <w:r w:rsidR="000231A2">
        <w:t>, at a minimum, respond to the eight</w:t>
      </w:r>
      <w:r w:rsidR="000E4325">
        <w:t xml:space="preserve"> questions stated in 36 CFR 219.12 (a)(5)(i – viii). After the Forest transitioned the reporting became biennial and their biennial monitoring report will be completed soon. </w:t>
      </w:r>
    </w:p>
    <w:p w14:paraId="31EF0C2D" w14:textId="12D8D728" w:rsidR="009F067E" w:rsidRPr="00416082" w:rsidRDefault="000231A2" w:rsidP="009F067E">
      <w:pPr>
        <w:rPr>
          <w:lang w:bidi="en-US"/>
        </w:rPr>
      </w:pPr>
      <w:r>
        <w:rPr>
          <w:lang w:bidi="en-US"/>
        </w:rPr>
        <w:t>The Reviewing O</w:t>
      </w:r>
      <w:r w:rsidR="009F067E">
        <w:rPr>
          <w:lang w:bidi="en-US"/>
        </w:rPr>
        <w:t xml:space="preserve">fficer’s responses to objections to the </w:t>
      </w:r>
      <w:r w:rsidR="00607379">
        <w:rPr>
          <w:lang w:bidi="en-US"/>
        </w:rPr>
        <w:t>Forest Plan</w:t>
      </w:r>
      <w:r w:rsidR="009F067E">
        <w:rPr>
          <w:lang w:bidi="en-US"/>
        </w:rPr>
        <w:t xml:space="preserve"> already includes a commitment to </w:t>
      </w:r>
      <w:r w:rsidR="009F067E" w:rsidRPr="004808BA">
        <w:rPr>
          <w:lang w:bidi="en-US"/>
        </w:rPr>
        <w:t>monitor the effects of the Amendment on the timber industry in Southeast Alaska</w:t>
      </w:r>
      <w:r w:rsidR="009F067E">
        <w:rPr>
          <w:lang w:bidi="en-US"/>
        </w:rPr>
        <w:t xml:space="preserve"> to</w:t>
      </w:r>
      <w:r w:rsidR="009F067E" w:rsidRPr="004808BA">
        <w:rPr>
          <w:lang w:bidi="en-US"/>
        </w:rPr>
        <w:t xml:space="preserve"> determine if the Amendment is achieving its goals, and will include similar indicators that will help the Tongass verify the assumptions used in the </w:t>
      </w:r>
      <w:r w:rsidR="009F067E">
        <w:rPr>
          <w:lang w:bidi="en-US"/>
        </w:rPr>
        <w:t>Forest Plan FEIS.</w:t>
      </w:r>
    </w:p>
    <w:p w14:paraId="3AB2E3C7" w14:textId="77777777" w:rsidR="00BB4947" w:rsidRDefault="00BB4947" w:rsidP="00005A4F">
      <w:pPr>
        <w:spacing w:after="0"/>
        <w:rPr>
          <w:b/>
        </w:rPr>
      </w:pPr>
    </w:p>
    <w:p w14:paraId="7BD9236E" w14:textId="77777777" w:rsidR="00005A4F" w:rsidRDefault="00005A4F" w:rsidP="0083349E">
      <w:pPr>
        <w:keepNext/>
        <w:spacing w:after="0"/>
      </w:pPr>
      <w:r>
        <w:rPr>
          <w:b/>
        </w:rPr>
        <w:t>SUMMARY:</w:t>
      </w:r>
    </w:p>
    <w:p w14:paraId="54312081" w14:textId="43866927" w:rsidR="00005A4F" w:rsidRDefault="00005A4F" w:rsidP="00005A4F">
      <w:pPr>
        <w:rPr>
          <w:b/>
        </w:rPr>
      </w:pPr>
      <w:r w:rsidRPr="00500EC7">
        <w:t xml:space="preserve">I have reviewed your objections and note that your concerns have been generally addressed in the FEIS. However, during my review of the FEIS I noted the above mentioned </w:t>
      </w:r>
      <w:r w:rsidR="008B572F">
        <w:t>error</w:t>
      </w:r>
      <w:r w:rsidR="00BB4947">
        <w:t xml:space="preserve"> and clarification</w:t>
      </w:r>
      <w:r w:rsidRPr="00500EC7">
        <w:t>.</w:t>
      </w:r>
      <w:r>
        <w:t xml:space="preserve"> As such I h</w:t>
      </w:r>
      <w:r w:rsidR="00590F56">
        <w:t>ave issued instructions to the Responsible O</w:t>
      </w:r>
      <w:r>
        <w:t>fficial.</w:t>
      </w:r>
      <w:r w:rsidRPr="00500EC7">
        <w:t xml:space="preserve"> My review constitutes the final administrative dete</w:t>
      </w:r>
      <w:r w:rsidR="000231A2">
        <w:t>rmination of the Department of Agriculture;</w:t>
      </w:r>
      <w:r w:rsidRPr="00500EC7">
        <w:t xml:space="preserve"> no further review from any other Forest Service or Department of Agriculture official of my written response to your objection is available (36 CFR 218.11(b)(2)</w:t>
      </w:r>
      <w:r>
        <w:t>)</w:t>
      </w:r>
      <w:r w:rsidRPr="00500EC7">
        <w:t xml:space="preserve">. The </w:t>
      </w:r>
      <w:r w:rsidR="0083349E">
        <w:t xml:space="preserve">Responsible Official </w:t>
      </w:r>
      <w:r w:rsidRPr="00500EC7">
        <w:t>may sign the Record of De</w:t>
      </w:r>
      <w:r w:rsidR="000231A2">
        <w:t>cision for this project once all</w:t>
      </w:r>
      <w:r w:rsidRPr="00500EC7">
        <w:t xml:space="preserve"> instructions are completed.</w:t>
      </w:r>
      <w:r w:rsidRPr="007F610A">
        <w:rPr>
          <w:b/>
        </w:rPr>
        <w:t xml:space="preserve"> </w:t>
      </w:r>
    </w:p>
    <w:p w14:paraId="7BB8E447" w14:textId="77777777" w:rsidR="00005A4F" w:rsidRDefault="00005A4F" w:rsidP="00005A4F"/>
    <w:p w14:paraId="7F1A7BD0" w14:textId="77777777" w:rsidR="00005A4F" w:rsidRDefault="00005A4F" w:rsidP="00005A4F">
      <w:pPr>
        <w:tabs>
          <w:tab w:val="left" w:pos="4195"/>
        </w:tabs>
      </w:pPr>
      <w:r>
        <w:tab/>
      </w:r>
    </w:p>
    <w:p w14:paraId="360CDCDD" w14:textId="77777777" w:rsidR="00005A4F" w:rsidRDefault="00005A4F" w:rsidP="00005A4F"/>
    <w:p w14:paraId="5F617992" w14:textId="77777777" w:rsidR="00E00DD6" w:rsidRDefault="00E00DD6" w:rsidP="003B6E49">
      <w:pPr>
        <w:rPr>
          <w:b/>
        </w:rPr>
      </w:pPr>
    </w:p>
    <w:sectPr w:rsidR="00E00DD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399D4" w14:textId="77777777" w:rsidR="004E1510" w:rsidRDefault="004E1510" w:rsidP="00381931">
      <w:pPr>
        <w:spacing w:after="0"/>
      </w:pPr>
      <w:r>
        <w:separator/>
      </w:r>
    </w:p>
  </w:endnote>
  <w:endnote w:type="continuationSeparator" w:id="0">
    <w:p w14:paraId="0F987C23" w14:textId="77777777" w:rsidR="004E1510" w:rsidRDefault="004E1510" w:rsidP="0038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179593"/>
      <w:docPartObj>
        <w:docPartGallery w:val="Page Numbers (Bottom of Page)"/>
        <w:docPartUnique/>
      </w:docPartObj>
    </w:sdtPr>
    <w:sdtEndPr>
      <w:rPr>
        <w:color w:val="7F7F7F" w:themeColor="background1" w:themeShade="7F"/>
        <w:spacing w:val="60"/>
      </w:rPr>
    </w:sdtEndPr>
    <w:sdtContent>
      <w:p w14:paraId="3876D7E3" w14:textId="77777777" w:rsidR="00DE2146" w:rsidRDefault="00DE214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E1510" w:rsidRPr="004E1510">
          <w:rPr>
            <w:b/>
            <w:bCs/>
            <w:noProof/>
          </w:rPr>
          <w:t>1</w:t>
        </w:r>
        <w:r>
          <w:rPr>
            <w:b/>
            <w:bCs/>
            <w:noProof/>
          </w:rPr>
          <w:fldChar w:fldCharType="end"/>
        </w:r>
        <w:r>
          <w:rPr>
            <w:b/>
            <w:bCs/>
          </w:rPr>
          <w:t xml:space="preserve"> | </w:t>
        </w:r>
        <w:r>
          <w:rPr>
            <w:color w:val="7F7F7F" w:themeColor="background1" w:themeShade="7F"/>
            <w:spacing w:val="60"/>
          </w:rPr>
          <w:t>Page</w:t>
        </w:r>
      </w:p>
    </w:sdtContent>
  </w:sdt>
  <w:p w14:paraId="4244E599" w14:textId="77777777" w:rsidR="00DE2146" w:rsidRDefault="00DE2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912A1" w14:textId="77777777" w:rsidR="004E1510" w:rsidRDefault="004E1510" w:rsidP="00381931">
      <w:pPr>
        <w:spacing w:after="0"/>
      </w:pPr>
      <w:r>
        <w:separator/>
      </w:r>
    </w:p>
  </w:footnote>
  <w:footnote w:type="continuationSeparator" w:id="0">
    <w:p w14:paraId="564EF26E" w14:textId="77777777" w:rsidR="004E1510" w:rsidRDefault="004E1510" w:rsidP="003819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A8A89" w14:textId="77777777" w:rsidR="00381931" w:rsidRDefault="00381931">
    <w:pPr>
      <w:pStyle w:val="Header"/>
    </w:pPr>
    <w:r>
      <w:t>Objection</w:t>
    </w:r>
    <w:r w:rsidR="00851C9E">
      <w:t xml:space="preserve"> Response POWLLA # 19-10-00-0019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06842"/>
    <w:multiLevelType w:val="hybridMultilevel"/>
    <w:tmpl w:val="D1E860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14719D"/>
    <w:multiLevelType w:val="hybridMultilevel"/>
    <w:tmpl w:val="DA3E0D5C"/>
    <w:lvl w:ilvl="0" w:tplc="7F820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6268EA"/>
    <w:multiLevelType w:val="hybridMultilevel"/>
    <w:tmpl w:val="4D5C3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05A4F"/>
    <w:rsid w:val="000231A2"/>
    <w:rsid w:val="00062D25"/>
    <w:rsid w:val="000B5B70"/>
    <w:rsid w:val="000E4325"/>
    <w:rsid w:val="000F6A0B"/>
    <w:rsid w:val="0011700E"/>
    <w:rsid w:val="001A35C6"/>
    <w:rsid w:val="001E5D22"/>
    <w:rsid w:val="00216F86"/>
    <w:rsid w:val="002601AA"/>
    <w:rsid w:val="002A7249"/>
    <w:rsid w:val="00337D6F"/>
    <w:rsid w:val="00381931"/>
    <w:rsid w:val="003A7FC8"/>
    <w:rsid w:val="003B6E49"/>
    <w:rsid w:val="00422AFF"/>
    <w:rsid w:val="00470104"/>
    <w:rsid w:val="0047257E"/>
    <w:rsid w:val="004A2A92"/>
    <w:rsid w:val="004E1510"/>
    <w:rsid w:val="004F2F3F"/>
    <w:rsid w:val="004F38CC"/>
    <w:rsid w:val="00511EA5"/>
    <w:rsid w:val="00541235"/>
    <w:rsid w:val="00581677"/>
    <w:rsid w:val="00590F56"/>
    <w:rsid w:val="005A66E7"/>
    <w:rsid w:val="005D6A6F"/>
    <w:rsid w:val="005F5894"/>
    <w:rsid w:val="00607379"/>
    <w:rsid w:val="006D65D5"/>
    <w:rsid w:val="006E41DD"/>
    <w:rsid w:val="00703120"/>
    <w:rsid w:val="0072331D"/>
    <w:rsid w:val="00750DCD"/>
    <w:rsid w:val="00792100"/>
    <w:rsid w:val="00827A21"/>
    <w:rsid w:val="0083349E"/>
    <w:rsid w:val="00851C9E"/>
    <w:rsid w:val="008648E4"/>
    <w:rsid w:val="0089492E"/>
    <w:rsid w:val="008B572F"/>
    <w:rsid w:val="008F5476"/>
    <w:rsid w:val="00937765"/>
    <w:rsid w:val="00942940"/>
    <w:rsid w:val="00946130"/>
    <w:rsid w:val="00973DCC"/>
    <w:rsid w:val="00975EB3"/>
    <w:rsid w:val="00992B5F"/>
    <w:rsid w:val="009974A9"/>
    <w:rsid w:val="009A5B01"/>
    <w:rsid w:val="009F067E"/>
    <w:rsid w:val="00A51C42"/>
    <w:rsid w:val="00A54DF3"/>
    <w:rsid w:val="00A57F58"/>
    <w:rsid w:val="00A82C39"/>
    <w:rsid w:val="00AE01C0"/>
    <w:rsid w:val="00B27D9E"/>
    <w:rsid w:val="00B66B1E"/>
    <w:rsid w:val="00B74046"/>
    <w:rsid w:val="00B93C58"/>
    <w:rsid w:val="00BB4947"/>
    <w:rsid w:val="00BD4A98"/>
    <w:rsid w:val="00C00428"/>
    <w:rsid w:val="00C35936"/>
    <w:rsid w:val="00C77412"/>
    <w:rsid w:val="00CA007D"/>
    <w:rsid w:val="00CB4768"/>
    <w:rsid w:val="00CF4DA5"/>
    <w:rsid w:val="00D357C9"/>
    <w:rsid w:val="00D420C3"/>
    <w:rsid w:val="00D86723"/>
    <w:rsid w:val="00DC0622"/>
    <w:rsid w:val="00DC1273"/>
    <w:rsid w:val="00DC3261"/>
    <w:rsid w:val="00DE1E9A"/>
    <w:rsid w:val="00DE2146"/>
    <w:rsid w:val="00E00DD6"/>
    <w:rsid w:val="00E82AA5"/>
    <w:rsid w:val="00EC005D"/>
    <w:rsid w:val="00EC1C32"/>
    <w:rsid w:val="00F5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F755"/>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A5"/>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DE2146"/>
    <w:pPr>
      <w:keepNext/>
      <w:keepLines/>
      <w:spacing w:before="240"/>
      <w:outlineLvl w:val="0"/>
    </w:pPr>
    <w:rPr>
      <w:rFonts w:asciiTheme="minorHAnsi" w:eastAsiaTheme="majorEastAsia" w:hAnsiTheme="minorHAnsi" w:cstheme="minorHAnsi"/>
      <w:b/>
    </w:rPr>
  </w:style>
  <w:style w:type="paragraph" w:styleId="Heading2">
    <w:name w:val="heading 2"/>
    <w:basedOn w:val="Normal"/>
    <w:next w:val="Normal"/>
    <w:link w:val="Heading2Char"/>
    <w:autoRedefine/>
    <w:unhideWhenUsed/>
    <w:qFormat/>
    <w:rsid w:val="00AE01C0"/>
    <w:pPr>
      <w:keepNext/>
      <w:keepLines/>
      <w:spacing w:before="120" w:after="0"/>
      <w:outlineLvl w:val="1"/>
    </w:pPr>
    <w:rPr>
      <w:rFonts w:asciiTheme="minorHAnsi" w:eastAsia="Calibri" w:hAnsiTheme="minorHAnsi" w:cstheme="minorHAnsi"/>
      <w:b/>
      <w:szCs w:val="26"/>
    </w:rPr>
  </w:style>
  <w:style w:type="paragraph" w:styleId="Heading3">
    <w:name w:val="heading 3"/>
    <w:basedOn w:val="Normal"/>
    <w:next w:val="Normal"/>
    <w:link w:val="Heading3Char"/>
    <w:uiPriority w:val="9"/>
    <w:semiHidden/>
    <w:unhideWhenUsed/>
    <w:qFormat/>
    <w:rsid w:val="003B6E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01C0"/>
    <w:rPr>
      <w:rFonts w:eastAsia="Calibri" w:cstheme="minorHAnsi"/>
      <w:b/>
      <w:szCs w:val="26"/>
    </w:rPr>
  </w:style>
  <w:style w:type="character" w:customStyle="1" w:styleId="Heading1Char">
    <w:name w:val="Heading 1 Char"/>
    <w:basedOn w:val="DefaultParagraphFont"/>
    <w:link w:val="Heading1"/>
    <w:uiPriority w:val="9"/>
    <w:rsid w:val="00DE2146"/>
    <w:rPr>
      <w:rFonts w:eastAsiaTheme="majorEastAsia" w:cstheme="minorHAnsi"/>
      <w:b/>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381931"/>
    <w:pPr>
      <w:tabs>
        <w:tab w:val="center" w:pos="4680"/>
        <w:tab w:val="right" w:pos="9360"/>
      </w:tabs>
      <w:spacing w:after="0"/>
    </w:pPr>
  </w:style>
  <w:style w:type="character" w:customStyle="1" w:styleId="HeaderChar">
    <w:name w:val="Header Char"/>
    <w:basedOn w:val="DefaultParagraphFont"/>
    <w:link w:val="Header"/>
    <w:uiPriority w:val="99"/>
    <w:rsid w:val="00381931"/>
    <w:rPr>
      <w:rFonts w:ascii="Calibri" w:hAnsi="Calibri" w:cs="Calibri"/>
    </w:rPr>
  </w:style>
  <w:style w:type="paragraph" w:styleId="Footer">
    <w:name w:val="footer"/>
    <w:basedOn w:val="Normal"/>
    <w:link w:val="FooterChar"/>
    <w:uiPriority w:val="99"/>
    <w:unhideWhenUsed/>
    <w:rsid w:val="00381931"/>
    <w:pPr>
      <w:tabs>
        <w:tab w:val="center" w:pos="4680"/>
        <w:tab w:val="right" w:pos="9360"/>
      </w:tabs>
      <w:spacing w:after="0"/>
    </w:pPr>
  </w:style>
  <w:style w:type="character" w:customStyle="1" w:styleId="FooterChar">
    <w:name w:val="Footer Char"/>
    <w:basedOn w:val="DefaultParagraphFont"/>
    <w:link w:val="Footer"/>
    <w:uiPriority w:val="99"/>
    <w:rsid w:val="00381931"/>
    <w:rPr>
      <w:rFonts w:ascii="Calibri" w:hAnsi="Calibri" w:cs="Calibri"/>
    </w:rPr>
  </w:style>
  <w:style w:type="paragraph" w:styleId="ListParagraph">
    <w:name w:val="List Paragraph"/>
    <w:basedOn w:val="Normal"/>
    <w:uiPriority w:val="1"/>
    <w:qFormat/>
    <w:rsid w:val="00750DCD"/>
    <w:pPr>
      <w:spacing w:after="200" w:line="276" w:lineRule="auto"/>
      <w:ind w:left="720"/>
      <w:contextualSpacing/>
    </w:pPr>
    <w:rPr>
      <w:rFonts w:asciiTheme="minorHAnsi" w:hAnsiTheme="minorHAnsi" w:cstheme="minorBidi"/>
    </w:rPr>
  </w:style>
  <w:style w:type="character" w:customStyle="1" w:styleId="Heading3Char">
    <w:name w:val="Heading 3 Char"/>
    <w:basedOn w:val="DefaultParagraphFont"/>
    <w:link w:val="Heading3"/>
    <w:uiPriority w:val="9"/>
    <w:semiHidden/>
    <w:rsid w:val="003B6E49"/>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3A7FC8"/>
    <w:rPr>
      <w:sz w:val="16"/>
      <w:szCs w:val="16"/>
    </w:rPr>
  </w:style>
  <w:style w:type="paragraph" w:styleId="CommentText">
    <w:name w:val="annotation text"/>
    <w:basedOn w:val="Normal"/>
    <w:link w:val="CommentTextChar"/>
    <w:uiPriority w:val="99"/>
    <w:semiHidden/>
    <w:unhideWhenUsed/>
    <w:rsid w:val="003A7FC8"/>
    <w:rPr>
      <w:sz w:val="20"/>
      <w:szCs w:val="20"/>
    </w:rPr>
  </w:style>
  <w:style w:type="character" w:customStyle="1" w:styleId="CommentTextChar">
    <w:name w:val="Comment Text Char"/>
    <w:basedOn w:val="DefaultParagraphFont"/>
    <w:link w:val="CommentText"/>
    <w:uiPriority w:val="99"/>
    <w:semiHidden/>
    <w:rsid w:val="003A7FC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7FC8"/>
    <w:rPr>
      <w:b/>
      <w:bCs/>
    </w:rPr>
  </w:style>
  <w:style w:type="character" w:customStyle="1" w:styleId="CommentSubjectChar">
    <w:name w:val="Comment Subject Char"/>
    <w:basedOn w:val="CommentTextChar"/>
    <w:link w:val="CommentSubject"/>
    <w:uiPriority w:val="99"/>
    <w:semiHidden/>
    <w:rsid w:val="003A7FC8"/>
    <w:rPr>
      <w:rFonts w:ascii="Calibri" w:hAnsi="Calibri" w:cs="Calibri"/>
      <w:b/>
      <w:bCs/>
      <w:sz w:val="20"/>
      <w:szCs w:val="20"/>
    </w:rPr>
  </w:style>
  <w:style w:type="paragraph" w:styleId="BalloonText">
    <w:name w:val="Balloon Text"/>
    <w:basedOn w:val="Normal"/>
    <w:link w:val="BalloonTextChar"/>
    <w:uiPriority w:val="99"/>
    <w:semiHidden/>
    <w:unhideWhenUsed/>
    <w:rsid w:val="003A7F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2019-03-02T00:16:00Z</dcterms:created>
  <dcterms:modified xsi:type="dcterms:W3CDTF">2019-03-02T00:16:00Z</dcterms:modified>
</cp:coreProperties>
</file>