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B1E" w:rsidRPr="00274247" w:rsidRDefault="002E0B56" w:rsidP="00B66B1E">
      <w:pPr>
        <w:rPr>
          <w:rFonts w:eastAsia="Garamond"/>
        </w:rPr>
      </w:pPr>
      <w:bookmarkStart w:id="0" w:name="_GoBack"/>
      <w:bookmarkEnd w:id="0"/>
      <w:r w:rsidRPr="005A66E7">
        <w:rPr>
          <w:b/>
        </w:rPr>
        <w:t>Issue:</w:t>
      </w:r>
      <w:r>
        <w:t xml:space="preserve"> </w:t>
      </w:r>
      <w:bookmarkStart w:id="1" w:name="_Hlk534201982"/>
      <w:r>
        <w:tab/>
        <w:t>You assert that t</w:t>
      </w:r>
      <w:r w:rsidRPr="00274247">
        <w:t xml:space="preserve">he FEIS fails to explain how the timber offerings in the POWLLA </w:t>
      </w:r>
      <w:r>
        <w:t xml:space="preserve">Project </w:t>
      </w:r>
      <w:r w:rsidRPr="00274247">
        <w:t>will</w:t>
      </w:r>
      <w:bookmarkStart w:id="2" w:name="_Hlk534201992"/>
      <w:bookmarkEnd w:id="1"/>
      <w:r w:rsidRPr="00274247">
        <w:rPr>
          <w:rFonts w:eastAsia="Garamond"/>
        </w:rPr>
        <w:t xml:space="preserve"> conform to the Forest Plan, particularly given that other timber sales could presumably occur elsewhere in the Forest over the next 15 years. </w:t>
      </w:r>
      <w:r>
        <w:rPr>
          <w:rFonts w:eastAsia="Garamond"/>
        </w:rPr>
        <w:t>According to you, t</w:t>
      </w:r>
      <w:r w:rsidRPr="00274247">
        <w:rPr>
          <w:rFonts w:eastAsia="Garamond"/>
        </w:rPr>
        <w:t>he lack of specificity for when and where harvest will occur does not allow the public to determine whether POWLLA conforms to the</w:t>
      </w:r>
      <w:r w:rsidR="006B6FA2">
        <w:rPr>
          <w:rFonts w:eastAsia="Garamond"/>
        </w:rPr>
        <w:t xml:space="preserve"> </w:t>
      </w:r>
      <w:r w:rsidRPr="00274247">
        <w:rPr>
          <w:rFonts w:eastAsia="Garamond"/>
        </w:rPr>
        <w:t>Forest Plan.</w:t>
      </w:r>
      <w:bookmarkEnd w:id="2"/>
    </w:p>
    <w:p w:rsidR="00B66B1E" w:rsidRDefault="00750DCD" w:rsidP="00B66B1E">
      <w:pPr>
        <w:rPr>
          <w:lang w:bidi="en-US"/>
        </w:rPr>
      </w:pPr>
      <w:r w:rsidRPr="00750DCD">
        <w:rPr>
          <w:b/>
        </w:rPr>
        <w:t>Response:</w:t>
      </w:r>
      <w:r>
        <w:t xml:space="preserve"> </w:t>
      </w:r>
      <w:r w:rsidR="005E5B52">
        <w:rPr>
          <w:lang w:bidi="en-US"/>
        </w:rPr>
        <w:t>The FEIS states that the POW</w:t>
      </w:r>
      <w:r w:rsidR="00B66B1E">
        <w:rPr>
          <w:lang w:bidi="en-US"/>
        </w:rPr>
        <w:t xml:space="preserve">LLA </w:t>
      </w:r>
      <w:r w:rsidR="002E0B56">
        <w:rPr>
          <w:lang w:bidi="en-US"/>
        </w:rPr>
        <w:t>P</w:t>
      </w:r>
      <w:r w:rsidR="00B66B1E">
        <w:rPr>
          <w:lang w:bidi="en-US"/>
        </w:rPr>
        <w:t>roject is a project-level analysis and does implement direction provided at those higher levels and is designed to achieve the management</w:t>
      </w:r>
      <w:r w:rsidR="002E0B56">
        <w:rPr>
          <w:lang w:bidi="en-US"/>
        </w:rPr>
        <w:t xml:space="preserve"> direction of the Forest Plan. </w:t>
      </w:r>
      <w:r w:rsidR="00B66B1E">
        <w:rPr>
          <w:lang w:bidi="en-US"/>
        </w:rPr>
        <w:t>The fact that other timber sales could occur on the Tongass does not affect whether the timber sales from this</w:t>
      </w:r>
      <w:r w:rsidR="002E0B56">
        <w:rPr>
          <w:lang w:bidi="en-US"/>
        </w:rPr>
        <w:t xml:space="preserve"> project conform to the Forest P</w:t>
      </w:r>
      <w:r w:rsidR="00B66B1E">
        <w:rPr>
          <w:lang w:bidi="en-US"/>
        </w:rPr>
        <w:t xml:space="preserve">lan. The FEIS also explains how this project is related to the Tongass Timber Program and how a five-year plan is used for planning and scheduling purposes. Timber </w:t>
      </w:r>
      <w:r w:rsidR="004D26DB">
        <w:rPr>
          <w:lang w:bidi="en-US"/>
        </w:rPr>
        <w:t>s</w:t>
      </w:r>
      <w:r w:rsidR="00B66B1E">
        <w:rPr>
          <w:lang w:bidi="en-US"/>
        </w:rPr>
        <w:t xml:space="preserve">ales on other ownerships do not have to conform to the Forest Plan. </w:t>
      </w:r>
    </w:p>
    <w:p w:rsidR="00B66B1E" w:rsidRDefault="00B66B1E" w:rsidP="00B66B1E">
      <w:pPr>
        <w:rPr>
          <w:lang w:bidi="en-US"/>
        </w:rPr>
      </w:pPr>
      <w:r>
        <w:rPr>
          <w:lang w:bidi="en-US"/>
        </w:rPr>
        <w:t>The FEIS Appendix A - Activity Cards describe how each activity will follow Forest Plan direction. In particular, see Activity Cards for Y</w:t>
      </w:r>
      <w:r w:rsidR="002E0B56">
        <w:rPr>
          <w:lang w:bidi="en-US"/>
        </w:rPr>
        <w:t>oung-growth Timber H</w:t>
      </w:r>
      <w:r>
        <w:rPr>
          <w:lang w:bidi="en-US"/>
        </w:rPr>
        <w:t>arvest Activity Cards 01, 02, 03, and 04 and Old-growth Timber Harvest Activity Cards.</w:t>
      </w:r>
      <w:r w:rsidRPr="00B66B1E">
        <w:rPr>
          <w:lang w:bidi="en-US"/>
        </w:rPr>
        <w:t xml:space="preserve"> </w:t>
      </w:r>
      <w:r>
        <w:rPr>
          <w:lang w:bidi="en-US"/>
        </w:rPr>
        <w:t>The FEIS Appendix B - Implementation Plan provides for further review to ensure the proposed timber harvest is consistent with the Forest Plan.</w:t>
      </w:r>
    </w:p>
    <w:p w:rsidR="00A82C39" w:rsidRDefault="00D357C9" w:rsidP="00D357C9">
      <w:pPr>
        <w:rPr>
          <w:rFonts w:eastAsia="Calibri"/>
        </w:rPr>
      </w:pPr>
      <w:r w:rsidRPr="00046BF6">
        <w:rPr>
          <w:rFonts w:eastAsia="Calibri"/>
        </w:rPr>
        <w:t xml:space="preserve">The POWLLA project fully complies with </w:t>
      </w:r>
      <w:r w:rsidR="002E0B56">
        <w:rPr>
          <w:rFonts w:eastAsia="Calibri"/>
        </w:rPr>
        <w:t>the Forest Plan requirements.</w:t>
      </w:r>
    </w:p>
    <w:p w:rsidR="002E0B56" w:rsidRDefault="002E0B56" w:rsidP="00D357C9"/>
    <w:p w:rsidR="00B66B1E" w:rsidRDefault="00D357C9" w:rsidP="00B66B1E">
      <w:pPr>
        <w:rPr>
          <w:lang w:bidi="en-US"/>
        </w:rPr>
      </w:pPr>
      <w:r w:rsidRPr="00D357C9">
        <w:rPr>
          <w:b/>
        </w:rPr>
        <w:t>Issue:</w:t>
      </w:r>
      <w:r>
        <w:t xml:space="preserve"> </w:t>
      </w:r>
      <w:r>
        <w:tab/>
      </w:r>
      <w:r w:rsidR="00B66B1E">
        <w:rPr>
          <w:lang w:bidi="en-US"/>
        </w:rPr>
        <w:t>You allege</w:t>
      </w:r>
      <w:r w:rsidR="00B66B1E" w:rsidRPr="00B11316">
        <w:rPr>
          <w:lang w:bidi="en-US"/>
        </w:rPr>
        <w:t xml:space="preserve"> that </w:t>
      </w:r>
      <w:r w:rsidR="00B66B1E">
        <w:rPr>
          <w:lang w:bidi="en-US"/>
        </w:rPr>
        <w:t>the condition-based approach does not meet site specificity requirements, thereby violating the requirements under NEPA to take a “hard look” at the impacts to the human environment.</w:t>
      </w:r>
      <w:r w:rsidR="00B66B1E" w:rsidRPr="00B11316">
        <w:rPr>
          <w:lang w:bidi="en-US"/>
        </w:rPr>
        <w:t xml:space="preserve"> </w:t>
      </w:r>
    </w:p>
    <w:p w:rsidR="00B66B1E" w:rsidRPr="00253DFB" w:rsidRDefault="00D357C9" w:rsidP="00B66B1E">
      <w:pPr>
        <w:rPr>
          <w:rFonts w:eastAsia="Calibri"/>
        </w:rPr>
      </w:pPr>
      <w:r w:rsidRPr="00D357C9">
        <w:rPr>
          <w:b/>
        </w:rPr>
        <w:t>Response:</w:t>
      </w:r>
      <w:r>
        <w:t xml:space="preserve"> </w:t>
      </w:r>
      <w:r w:rsidR="00B66B1E" w:rsidRPr="00253DFB">
        <w:t xml:space="preserve">NEPA requires that the agency should be able to demonstrate that it has taken a careful look at its actions and engaged in reasoned decision-making by using a </w:t>
      </w:r>
      <w:r w:rsidR="00B66B1E" w:rsidRPr="00253DFB">
        <w:rPr>
          <w:color w:val="000000"/>
          <w:kern w:val="22"/>
        </w:rPr>
        <w:t xml:space="preserve">reasonable and reliable process to identify potential environmental effects, and, if adverse impacts are found, use that information to explore options to reduce those impacts while still achieving the project’s objectives. </w:t>
      </w:r>
      <w:r w:rsidR="00B66B1E" w:rsidRPr="00253DFB">
        <w:rPr>
          <w:rFonts w:eastAsia="Calibri"/>
        </w:rPr>
        <w:t>The agency must also be able to explain clearly why the data it has collected and the methodologies it used were adequate to inform the public and the decision-maker of a project’s environmental effects.</w:t>
      </w:r>
    </w:p>
    <w:p w:rsidR="002E0B56" w:rsidRPr="00B66B1E" w:rsidRDefault="006B6FA2" w:rsidP="002E0B56">
      <w:pPr>
        <w:rPr>
          <w:rFonts w:eastAsia="Calibri"/>
        </w:rPr>
      </w:pPr>
      <w:r>
        <w:rPr>
          <w:rFonts w:eastAsia="Calibri"/>
        </w:rPr>
        <w:t>The POW</w:t>
      </w:r>
      <w:r w:rsidR="002E0B56">
        <w:rPr>
          <w:rFonts w:eastAsia="Calibri"/>
        </w:rPr>
        <w:t>LLA Project is c</w:t>
      </w:r>
      <w:r w:rsidR="002E0B56" w:rsidRPr="00046BF6">
        <w:rPr>
          <w:rFonts w:eastAsia="Calibri"/>
        </w:rPr>
        <w:t xml:space="preserve">onsistent </w:t>
      </w:r>
      <w:r w:rsidR="002E0B56">
        <w:rPr>
          <w:rFonts w:eastAsia="Calibri"/>
        </w:rPr>
        <w:t>with the requirements of NEPA in that it</w:t>
      </w:r>
      <w:r w:rsidR="002E0B56">
        <w:t xml:space="preserve"> </w:t>
      </w:r>
      <w:r w:rsidR="002E0B56" w:rsidRPr="00046BF6">
        <w:t>employs a condition-based management strategy, where implementation of specific actions (described in Activity Cards) varies according to clearly identified on-the-ground and site-specific conditions</w:t>
      </w:r>
      <w:r w:rsidR="002E0B56">
        <w:t>.</w:t>
      </w:r>
      <w:r w:rsidR="002E0B56" w:rsidRPr="00046BF6">
        <w:t xml:space="preserve"> </w:t>
      </w:r>
      <w:r w:rsidR="002E0B56">
        <w:t>This</w:t>
      </w:r>
      <w:r w:rsidR="002E0B56" w:rsidRPr="00046BF6">
        <w:t xml:space="preserve"> allows flexibility when new information or changed circumstances arising during implementation are discovered, while staying within the design parameters and legal sideboards of the decision’s implementation plan.</w:t>
      </w:r>
      <w:r w:rsidR="002E0B56">
        <w:t xml:space="preserve"> This level of analysis meets the requirement of NEPA; although the analysis is not acre-by-acre (nor is that required), all the potential actions have been identified and analyzed at the maximum level of implementation allowable within each alternative.</w:t>
      </w:r>
    </w:p>
    <w:p w:rsidR="001D36F6" w:rsidRDefault="002E0B56" w:rsidP="00703120">
      <w:pPr>
        <w:rPr>
          <w:lang w:bidi="en-US"/>
        </w:rPr>
      </w:pPr>
      <w:r w:rsidRPr="00253DFB">
        <w:rPr>
          <w:rFonts w:eastAsia="Calibri"/>
        </w:rPr>
        <w:t xml:space="preserve">The POWLLA </w:t>
      </w:r>
      <w:r>
        <w:rPr>
          <w:rFonts w:eastAsia="Calibri"/>
        </w:rPr>
        <w:t>P</w:t>
      </w:r>
      <w:r w:rsidRPr="00253DFB">
        <w:rPr>
          <w:rFonts w:eastAsia="Calibri"/>
        </w:rPr>
        <w:t>roject fully complies with NEPA requirements</w:t>
      </w:r>
      <w:r>
        <w:rPr>
          <w:lang w:bidi="en-US"/>
        </w:rPr>
        <w:t xml:space="preserve"> to take a “hard look” at the impacts to the human environment.</w:t>
      </w:r>
      <w:r w:rsidRPr="00B11316">
        <w:rPr>
          <w:lang w:bidi="en-US"/>
        </w:rPr>
        <w:t xml:space="preserve"> </w:t>
      </w:r>
    </w:p>
    <w:p w:rsidR="002E0B56" w:rsidRPr="002E0B56" w:rsidRDefault="002E0B56" w:rsidP="00703120">
      <w:pPr>
        <w:rPr>
          <w:lang w:bidi="en-US"/>
        </w:rPr>
      </w:pPr>
    </w:p>
    <w:p w:rsidR="00703120" w:rsidRPr="000146A7" w:rsidRDefault="00A51C42" w:rsidP="00703120">
      <w:pPr>
        <w:rPr>
          <w:lang w:bidi="en-US"/>
        </w:rPr>
      </w:pPr>
      <w:r w:rsidRPr="00A51C42">
        <w:rPr>
          <w:b/>
        </w:rPr>
        <w:t>Issue:</w:t>
      </w:r>
      <w:r>
        <w:t xml:space="preserve"> </w:t>
      </w:r>
      <w:r>
        <w:tab/>
        <w:t>You allege</w:t>
      </w:r>
      <w:r w:rsidRPr="00572EEE">
        <w:t xml:space="preserve"> that </w:t>
      </w:r>
      <w:r w:rsidR="00703120">
        <w:rPr>
          <w:lang w:bidi="en-US"/>
        </w:rPr>
        <w:t>the FEIS does not provide enough guidance on how wildlife population thresholds were used. Specifically, 1) that the FEIS does not explain why it uses the standard of species “persistence” to assess whether harvest</w:t>
      </w:r>
      <w:r w:rsidR="006B6FA2">
        <w:rPr>
          <w:lang w:bidi="en-US"/>
        </w:rPr>
        <w:t xml:space="preserve"> will impact species of concern;</w:t>
      </w:r>
      <w:r w:rsidR="00703120">
        <w:rPr>
          <w:lang w:bidi="en-US"/>
        </w:rPr>
        <w:t xml:space="preserve"> 2) </w:t>
      </w:r>
      <w:r w:rsidR="006B6FA2">
        <w:rPr>
          <w:lang w:bidi="en-US"/>
        </w:rPr>
        <w:t>the</w:t>
      </w:r>
      <w:r w:rsidR="00703120">
        <w:rPr>
          <w:lang w:bidi="en-US"/>
        </w:rPr>
        <w:t xml:space="preserve"> FEIS used arbitrary habitat thresholds drawn from studies in entirely different contexts, failing to explain differences and how these habitat thresholds relate to the Tongass and Prince of Wales</w:t>
      </w:r>
      <w:r w:rsidR="004D26DB">
        <w:rPr>
          <w:lang w:bidi="en-US"/>
        </w:rPr>
        <w:t xml:space="preserve"> Island</w:t>
      </w:r>
      <w:r w:rsidR="00703120">
        <w:rPr>
          <w:lang w:bidi="en-US"/>
        </w:rPr>
        <w:t xml:space="preserve"> and; 3) there are incorrect or missing references in the FEIS.</w:t>
      </w:r>
    </w:p>
    <w:p w:rsidR="00703120" w:rsidRPr="002240BA" w:rsidRDefault="00792100" w:rsidP="00703120">
      <w:r w:rsidRPr="00703120">
        <w:rPr>
          <w:b/>
        </w:rPr>
        <w:lastRenderedPageBreak/>
        <w:t>Response:</w:t>
      </w:r>
      <w:r>
        <w:t xml:space="preserve"> </w:t>
      </w:r>
      <w:r w:rsidR="00703120" w:rsidRPr="00407793">
        <w:t xml:space="preserve">While the term “persistence” does appear a couple of times in the document once when referring to maintaining old-growth ecosystems and another time when citing Iverson 1997,  the FEIS clearly does not use a standard of species “persistence” to assess whether harvest will impact any wildlife species.  </w:t>
      </w:r>
      <w:r w:rsidR="00703120" w:rsidRPr="002240BA">
        <w:t xml:space="preserve">Standards and Guidelines within the </w:t>
      </w:r>
      <w:r w:rsidR="006B6FA2">
        <w:t>Forest</w:t>
      </w:r>
      <w:r w:rsidR="00703120" w:rsidRPr="002240BA">
        <w:t xml:space="preserve"> Plan (pp. 4-85</w:t>
      </w:r>
      <w:r w:rsidR="006B6FA2">
        <w:t xml:space="preserve"> through 4-</w:t>
      </w:r>
      <w:r w:rsidR="00703120" w:rsidRPr="002240BA">
        <w:t>-97) identify the species and associated expectations for project analysis and/or habitat management specific to wildlife, including application of the Legacy Standard and Guideline.</w:t>
      </w:r>
    </w:p>
    <w:p w:rsidR="00703120" w:rsidRPr="00407793" w:rsidRDefault="00703120" w:rsidP="00703120">
      <w:r w:rsidRPr="00407793">
        <w:t xml:space="preserve">Thresholds were used to display differences between potential impact of alternatives, cumulative impacts and existing condition and not to demonstrate viability.  Species viability is determined at the Forest Plan level (36 CFR Sec. 219.19). The FEIS clarifies this under “Tolerance to Changes in Habitat” (pp. 172-173). </w:t>
      </w:r>
    </w:p>
    <w:p w:rsidR="002E0B56" w:rsidRPr="002240BA" w:rsidRDefault="002E0B56" w:rsidP="002E0B56">
      <w:r w:rsidRPr="002240BA">
        <w:t xml:space="preserve">It is the intent of the </w:t>
      </w:r>
      <w:r>
        <w:t>F</w:t>
      </w:r>
      <w:r w:rsidRPr="002240BA">
        <w:t xml:space="preserve">orest to fully provide and make available references cited within the FEIS and supporting documents. Missing references or incomplete citations will be added </w:t>
      </w:r>
      <w:r>
        <w:t>to the project record as needed, as demonstrated by the instructions below</w:t>
      </w:r>
      <w:r w:rsidRPr="002240BA">
        <w:t>.</w:t>
      </w:r>
      <w:r w:rsidRPr="00706718">
        <w:t xml:space="preserve"> T</w:t>
      </w:r>
      <w:r w:rsidRPr="002240BA">
        <w:t>he hyperlink of Blewett and Marz</w:t>
      </w:r>
      <w:r>
        <w:t>luff (2005) has been corrected.</w:t>
      </w:r>
    </w:p>
    <w:p w:rsidR="00703120" w:rsidRPr="007D6201" w:rsidRDefault="00703120" w:rsidP="00703120">
      <w:r w:rsidRPr="007D6201">
        <w:t>The analyses and supporting documentation provided by the FEIS comply fully with applicable rules.</w:t>
      </w:r>
    </w:p>
    <w:p w:rsidR="00703120" w:rsidRPr="00C64B91" w:rsidRDefault="00703120" w:rsidP="00C64B91">
      <w:r w:rsidRPr="00C64B91">
        <w:rPr>
          <w:b/>
        </w:rPr>
        <w:t>Instruction:</w:t>
      </w:r>
      <w:r w:rsidRPr="00703120">
        <w:t xml:space="preserve"> The </w:t>
      </w:r>
      <w:r w:rsidR="002E0B56" w:rsidRPr="00C64B91">
        <w:t xml:space="preserve">Responsible Official </w:t>
      </w:r>
      <w:r w:rsidRPr="00703120">
        <w:t xml:space="preserve">needs to make the following corrections and clarification of the project record:  The record index #833_2309 takes the reader to: Angelstam, P. 2004, </w:t>
      </w:r>
      <w:r w:rsidRPr="00C64B91">
        <w:t>Habitat thresholds and effects of forest landscape change on the distribution and abundance of black grouse and capercaillie</w:t>
      </w:r>
      <w:r w:rsidRPr="00703120">
        <w:t>. – Ecol. Bull. 51: 173–187.  This may represent information similar to that of Angelstam 2001b and Angelstam 2001 as cited in the FEIS, but this is not the reference cited in the document.</w:t>
      </w:r>
      <w:r w:rsidRPr="00706718">
        <w:t xml:space="preserve"> </w:t>
      </w:r>
    </w:p>
    <w:p w:rsidR="00A51C42" w:rsidRDefault="00A51C42" w:rsidP="00703120"/>
    <w:p w:rsidR="00703120" w:rsidRPr="00A61081" w:rsidRDefault="004F2F3F" w:rsidP="00703120">
      <w:pPr>
        <w:rPr>
          <w:lang w:bidi="en-US"/>
        </w:rPr>
      </w:pPr>
      <w:r w:rsidRPr="004F2F3F">
        <w:rPr>
          <w:b/>
        </w:rPr>
        <w:t>Issue:</w:t>
      </w:r>
      <w:r>
        <w:t xml:space="preserve"> </w:t>
      </w:r>
      <w:r>
        <w:tab/>
        <w:t xml:space="preserve">You </w:t>
      </w:r>
      <w:r w:rsidR="00703120">
        <w:rPr>
          <w:lang w:bidi="en-US"/>
        </w:rPr>
        <w:t>assert that the FEIS errs in its comparison of old-growth harvest between alternatives and that the FEIS remains confusing in how it compares how much old growth harvest would occur in different alternatives, with contr</w:t>
      </w:r>
      <w:r w:rsidR="002E0B56">
        <w:rPr>
          <w:lang w:bidi="en-US"/>
        </w:rPr>
        <w:t xml:space="preserve">adictory statements within the draft </w:t>
      </w:r>
      <w:r w:rsidR="00703120">
        <w:rPr>
          <w:lang w:bidi="en-US"/>
        </w:rPr>
        <w:t>EIS and FEIS.</w:t>
      </w:r>
    </w:p>
    <w:p w:rsidR="002E0B56" w:rsidRPr="00B513E5" w:rsidRDefault="002E0B56" w:rsidP="002E0B56">
      <w:r w:rsidRPr="008648E4">
        <w:rPr>
          <w:b/>
        </w:rPr>
        <w:t>Response:</w:t>
      </w:r>
      <w:r>
        <w:t xml:space="preserve"> </w:t>
      </w:r>
      <w:r w:rsidRPr="00B513E5">
        <w:t xml:space="preserve">Table 4, a summary of </w:t>
      </w:r>
      <w:r>
        <w:t>a</w:t>
      </w:r>
      <w:r w:rsidRPr="00B513E5">
        <w:t>lternatives (Chapter 2 of the FEIS</w:t>
      </w:r>
      <w:r>
        <w:t>,</w:t>
      </w:r>
      <w:r w:rsidRPr="00B513E5">
        <w:t xml:space="preserve"> p. 42), provides a breakdown of the proposed acres of wildlife habitat to be harvested under each alternative</w:t>
      </w:r>
      <w:r>
        <w:t xml:space="preserve">. </w:t>
      </w:r>
      <w:r w:rsidRPr="00B513E5">
        <w:t xml:space="preserve">These acreages are carried consistently through the body of the analysis, when they are presented. In many instances, percentages of treatments proposed against habitat available at the project scale are provided for the discussion of effects (FEIS, pp. 170-218). </w:t>
      </w:r>
    </w:p>
    <w:p w:rsidR="002E0B56" w:rsidRPr="00B513E5" w:rsidRDefault="002E0B56" w:rsidP="002E0B56">
      <w:r w:rsidRPr="00B513E5">
        <w:t>The FEIS includes a comparison of the harvest of productive old-growth (POG), high-volume productive old-growth (HPOG), and large-tree old-growth (the agency terms this habitat type (SD67) by alternative at the project area scale under each habitat section. The analysis in the FEIS includes explanations for how analysis of habitat types can appropriately represent the effects to certain species</w:t>
      </w:r>
      <w:r>
        <w:t xml:space="preserve">. </w:t>
      </w:r>
    </w:p>
    <w:p w:rsidR="002E0B56" w:rsidRDefault="002E0B56" w:rsidP="002E0B56">
      <w:r w:rsidRPr="00B513E5">
        <w:t xml:space="preserve">The FEIS Summary for Issue 5: Wildlife Habitat states “All action alternatives would result in a similar reduction in habitats at the project area scale on </w:t>
      </w:r>
      <w:r>
        <w:t>[National Forest System (NFS)]</w:t>
      </w:r>
      <w:r w:rsidRPr="00B513E5">
        <w:t xml:space="preserve"> lands, because for analysis purposes, it was assumed that all proposed acres by alternative would be harvested” (FEIS p.</w:t>
      </w:r>
      <w:r w:rsidR="006B6FA2">
        <w:t xml:space="preserve"> </w:t>
      </w:r>
      <w:r w:rsidRPr="00B513E5">
        <w:t>viii)</w:t>
      </w:r>
      <w:r>
        <w:t xml:space="preserve">. </w:t>
      </w:r>
      <w:r w:rsidRPr="00B513E5">
        <w:t>This is a reasonable statement since there are 815,000 acres of POG on NFS lands in the project area, and the range of potential POG harvest for the action alternatives varies between 6,000-23,000 acres, or 0.7-2.8</w:t>
      </w:r>
      <w:r>
        <w:t xml:space="preserve"> percent</w:t>
      </w:r>
      <w:r w:rsidRPr="00B513E5">
        <w:t xml:space="preserve"> of current POG habitat</w:t>
      </w:r>
      <w:r>
        <w:t xml:space="preserve">. </w:t>
      </w:r>
    </w:p>
    <w:p w:rsidR="002E0B56" w:rsidRPr="00B513E5" w:rsidRDefault="002E0B56" w:rsidP="002E0B56">
      <w:r w:rsidRPr="00B513E5">
        <w:t>Where this statement becomes confusing and may appear contradictory to other statements in the FEIS is in the Direct and Indirect Effects discussion for HPOG</w:t>
      </w:r>
      <w:r>
        <w:t xml:space="preserve">. </w:t>
      </w:r>
      <w:r w:rsidRPr="00B513E5">
        <w:t>There the FEIS states harvest of HPOG habitat is assumed for analysis to be proportional</w:t>
      </w:r>
      <w:r w:rsidR="006B6FA2">
        <w:t xml:space="preserve"> to the total POG harvest (FEIS, </w:t>
      </w:r>
      <w:r w:rsidRPr="00B513E5">
        <w:t>p.</w:t>
      </w:r>
      <w:r w:rsidR="006B6FA2">
        <w:t xml:space="preserve"> 3-</w:t>
      </w:r>
      <w:r w:rsidRPr="00B513E5">
        <w:t>195)</w:t>
      </w:r>
      <w:r>
        <w:t xml:space="preserve">. </w:t>
      </w:r>
      <w:r w:rsidRPr="00B513E5">
        <w:t xml:space="preserve">This informs the reader </w:t>
      </w:r>
      <w:r>
        <w:t xml:space="preserve">that </w:t>
      </w:r>
      <w:r w:rsidRPr="00B513E5">
        <w:t>there is indeed a difference in HPOG harvested among alternatives but the extent of which is not clearly articulated</w:t>
      </w:r>
      <w:r>
        <w:t xml:space="preserve">. </w:t>
      </w:r>
      <w:r w:rsidRPr="00B513E5">
        <w:t>The next paragraph seems to lump all action alternatives with a general statement that as a result of the proposed activities the POG acres may be reduced to about 317,658 acres (id.)  And later in the same section the FEIS states all action alternatives would result in about a 3 percent reduction in HPOG at th</w:t>
      </w:r>
      <w:r w:rsidR="006B6FA2">
        <w:t xml:space="preserve">e project area scale (FEIS, </w:t>
      </w:r>
      <w:r w:rsidRPr="00B513E5">
        <w:t>p.</w:t>
      </w:r>
      <w:r w:rsidR="006B6FA2">
        <w:t xml:space="preserve"> 3-</w:t>
      </w:r>
      <w:r w:rsidRPr="00B513E5">
        <w:t>196)</w:t>
      </w:r>
      <w:r>
        <w:t xml:space="preserve">. </w:t>
      </w:r>
      <w:r w:rsidRPr="00B513E5">
        <w:t>Without context to help explain these varying statements of effects, the reader cannot be expected to fully understand the differences in potential HPOG harvested among alternatives</w:t>
      </w:r>
      <w:r>
        <w:t xml:space="preserve">. </w:t>
      </w:r>
      <w:r w:rsidRPr="00B513E5">
        <w:t>The use of percentages to indicate change at the scale of modifying 23,269 or 6,365 acres against a base of 800,000 acres can appear similar, but referencing the specific acres of treatment can help to clarify the differences between alternatives.</w:t>
      </w:r>
    </w:p>
    <w:p w:rsidR="002E0B56" w:rsidRPr="00A61081" w:rsidRDefault="002E0B56" w:rsidP="002E0B56">
      <w:r w:rsidRPr="00A61081">
        <w:t xml:space="preserve">The FEIS does show a difference between the habitat types at the project area scale. The FEIS does not use varying acreages of HPOG, SD67, and other old-growth types when it analyzes how the alternatives will impact wildlife at the </w:t>
      </w:r>
      <w:r>
        <w:t xml:space="preserve">wildlife analysis area </w:t>
      </w:r>
      <w:r w:rsidRPr="00A61081">
        <w:t xml:space="preserve">scale because it is unknown in which </w:t>
      </w:r>
      <w:r>
        <w:t>wildlife analysis area</w:t>
      </w:r>
      <w:r w:rsidRPr="00A61081">
        <w:t xml:space="preserve"> what level of h</w:t>
      </w:r>
      <w:r>
        <w:t>arvest will occur; that is why</w:t>
      </w:r>
      <w:r w:rsidRPr="00A61081">
        <w:t xml:space="preserve"> Alternative 5 may propose to harvest only a quarter of the old growth acres as Alternative 2</w:t>
      </w:r>
      <w:r>
        <w:t>;</w:t>
      </w:r>
      <w:r w:rsidRPr="00A61081">
        <w:t xml:space="preserve"> it is unknown if all that harvest would occur across the project area or be concentrated in a few </w:t>
      </w:r>
      <w:r>
        <w:t>wildlife analysis area</w:t>
      </w:r>
      <w:r w:rsidRPr="00A61081">
        <w:t>s.</w:t>
      </w:r>
    </w:p>
    <w:p w:rsidR="002E0B56" w:rsidRPr="003313DB" w:rsidRDefault="002E0B56" w:rsidP="002E0B56">
      <w:r w:rsidRPr="003313DB">
        <w:t>How the FEIS discusses effects to different old-growth habitat types (POG, HPOG, SD67) between alternatives could appear con</w:t>
      </w:r>
      <w:r>
        <w:t>fusing</w:t>
      </w:r>
      <w:r w:rsidRPr="003313DB">
        <w:t xml:space="preserve"> to the public</w:t>
      </w:r>
      <w:r>
        <w:t xml:space="preserve">. </w:t>
      </w:r>
      <w:r w:rsidRPr="003313DB">
        <w:t>While the statements in the FEIS contended by the objector are correct on their own</w:t>
      </w:r>
      <w:r>
        <w:t>,</w:t>
      </w:r>
      <w:r w:rsidRPr="003313DB">
        <w:t xml:space="preserve"> when put into proper context, the differences in potential acres of HPOG harvested under each alternative are enough that it needs to be clearly articulated</w:t>
      </w:r>
      <w:r>
        <w:t xml:space="preserve">. </w:t>
      </w:r>
      <w:r w:rsidRPr="003313DB">
        <w:t>This would disclose to both the public and the decision</w:t>
      </w:r>
      <w:r>
        <w:t>-</w:t>
      </w:r>
      <w:r w:rsidRPr="003313DB">
        <w:t>maker the relative differences of potential harvest of important habitat types among alternatives</w:t>
      </w:r>
      <w:r>
        <w:t>, and as such, I have included instructions below</w:t>
      </w:r>
      <w:r w:rsidRPr="003313DB">
        <w:t>. Additional referra</w:t>
      </w:r>
      <w:r w:rsidR="006B6FA2">
        <w:t>l to the values in Table 4, p.</w:t>
      </w:r>
      <w:r w:rsidRPr="003313DB">
        <w:t xml:space="preserve"> 42 may be helpful. </w:t>
      </w:r>
    </w:p>
    <w:p w:rsidR="00703120" w:rsidRPr="002E0B56" w:rsidRDefault="00703120" w:rsidP="002E0B56">
      <w:r w:rsidRPr="002E0B56">
        <w:rPr>
          <w:b/>
        </w:rPr>
        <w:t>Instruction:</w:t>
      </w:r>
      <w:r w:rsidRPr="002E0B56">
        <w:t xml:space="preserve"> The </w:t>
      </w:r>
      <w:r w:rsidR="002E0B56" w:rsidRPr="002E0B56">
        <w:t xml:space="preserve">Responsible Official </w:t>
      </w:r>
      <w:r w:rsidRPr="002E0B56">
        <w:t>needs to provide additional context or clarify</w:t>
      </w:r>
      <w:r w:rsidR="001D36F6" w:rsidRPr="002E0B56">
        <w:t>ing statements as to</w:t>
      </w:r>
      <w:r w:rsidRPr="002E0B56">
        <w:t xml:space="preserve"> why all </w:t>
      </w:r>
      <w:r w:rsidR="001D36F6" w:rsidRPr="002E0B56">
        <w:t xml:space="preserve">the </w:t>
      </w:r>
      <w:r w:rsidRPr="002E0B56">
        <w:t>action alternatives result in “s</w:t>
      </w:r>
      <w:r w:rsidR="002E0B56" w:rsidRPr="002E0B56">
        <w:t xml:space="preserve">imilar” reduction in habitats. </w:t>
      </w:r>
      <w:r w:rsidR="00DC3261" w:rsidRPr="002E0B56">
        <w:t>Providing</w:t>
      </w:r>
      <w:r w:rsidRPr="002E0B56">
        <w:t xml:space="preserve"> a table to clearly disclose to the reader potential acres of POG, HPOG, and SD67 harvested under each alternative as well as current POG acres </w:t>
      </w:r>
      <w:r w:rsidR="00DC3261" w:rsidRPr="002E0B56">
        <w:t xml:space="preserve">would </w:t>
      </w:r>
      <w:r w:rsidRPr="002E0B56">
        <w:t>help with context. Ensure all acres displayed in the table are consistent with those already in the FEIS. In addition, provide supporting narrative discussion to clarify the relative differences in potential harvest of HPOG and SD67 habitat between alternatives that points back to the table provided</w:t>
      </w:r>
      <w:r w:rsidR="002E0B56" w:rsidRPr="002E0B56">
        <w:t xml:space="preserve">. </w:t>
      </w:r>
      <w:r w:rsidRPr="002E0B56">
        <w:t xml:space="preserve">A good narrative example of this can be found in the Large Tree POG (SD67) Direct and Indirect Effects discussion for </w:t>
      </w:r>
      <w:r w:rsidR="006B6FA2">
        <w:t xml:space="preserve">Alternatives 2, 3, and 5 (FEIS, </w:t>
      </w:r>
      <w:r w:rsidRPr="002E0B56">
        <w:t>p.</w:t>
      </w:r>
      <w:r w:rsidR="002E0B56" w:rsidRPr="002E0B56">
        <w:t xml:space="preserve"> </w:t>
      </w:r>
      <w:r w:rsidR="006B6FA2">
        <w:t>3-</w:t>
      </w:r>
      <w:r w:rsidRPr="002E0B56">
        <w:t>212). The sum of 317,658 acres identified above should be validated as well.</w:t>
      </w:r>
    </w:p>
    <w:p w:rsidR="002E0B56" w:rsidRPr="002E0B56" w:rsidRDefault="002E0B56" w:rsidP="002E0B56"/>
    <w:p w:rsidR="00227BA0" w:rsidRDefault="00227BA0" w:rsidP="00227BA0">
      <w:pPr>
        <w:rPr>
          <w:b/>
        </w:rPr>
      </w:pPr>
      <w:r>
        <w:rPr>
          <w:b/>
        </w:rPr>
        <w:t>SUMM</w:t>
      </w:r>
      <w:r w:rsidR="00F2025D">
        <w:rPr>
          <w:b/>
        </w:rPr>
        <w:t>A</w:t>
      </w:r>
      <w:r>
        <w:rPr>
          <w:b/>
        </w:rPr>
        <w:t>RY:</w:t>
      </w:r>
    </w:p>
    <w:p w:rsidR="002E0B56" w:rsidRPr="002E0B56" w:rsidRDefault="002E0B56" w:rsidP="002E0B56">
      <w:r w:rsidRPr="00500EC7">
        <w:t>I have reviewed your objections and note that your concerns have been generally addressed in the FEIS. However, during my review of the FEIS I n</w:t>
      </w:r>
      <w:r>
        <w:t xml:space="preserve">oted instructions to the Responsible Official in some of the above issues that </w:t>
      </w:r>
      <w:r w:rsidRPr="00500EC7">
        <w:t>w</w:t>
      </w:r>
      <w:r>
        <w:t>ill</w:t>
      </w:r>
      <w:r w:rsidRPr="00500EC7">
        <w:t xml:space="preserve"> </w:t>
      </w:r>
      <w:r>
        <w:t>clarify the analysis and findings or correct minor errors in the FEIS</w:t>
      </w:r>
      <w:r w:rsidRPr="00500EC7">
        <w:t>.</w:t>
      </w:r>
      <w:r>
        <w:t xml:space="preserve"> </w:t>
      </w:r>
      <w:r w:rsidRPr="00500EC7">
        <w:t xml:space="preserve">My review constitutes the final administrative determination of the Department of </w:t>
      </w:r>
      <w:r>
        <w:t>A</w:t>
      </w:r>
      <w:r w:rsidRPr="00500EC7">
        <w:t>griculture</w:t>
      </w:r>
      <w:r>
        <w:t>;</w:t>
      </w:r>
      <w:r w:rsidRPr="00500EC7">
        <w:t xml:space="preserve"> no further review from any other Forest Service or Department of Agriculture official of my written response to your objection is available (36 CFR 218.11(b)(2)</w:t>
      </w:r>
      <w:r>
        <w:t>)</w:t>
      </w:r>
      <w:r w:rsidRPr="00500EC7">
        <w:t xml:space="preserve">. The </w:t>
      </w:r>
      <w:r>
        <w:t xml:space="preserve">Responsible Official </w:t>
      </w:r>
      <w:r w:rsidRPr="00500EC7">
        <w:t>may sign the Record of Decision for this project once a</w:t>
      </w:r>
      <w:r>
        <w:t>ll</w:t>
      </w:r>
      <w:r w:rsidRPr="00500EC7">
        <w:t xml:space="preserve"> instructions are completed.</w:t>
      </w:r>
      <w:r w:rsidRPr="007F610A">
        <w:rPr>
          <w:b/>
        </w:rPr>
        <w:t xml:space="preserve"> </w:t>
      </w:r>
    </w:p>
    <w:p w:rsidR="00227BA0" w:rsidRDefault="00227BA0" w:rsidP="008648E4"/>
    <w:sectPr w:rsidR="00227B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22A" w:rsidRDefault="00FC522A" w:rsidP="00381931">
      <w:pPr>
        <w:spacing w:after="0"/>
      </w:pPr>
      <w:r>
        <w:separator/>
      </w:r>
    </w:p>
  </w:endnote>
  <w:endnote w:type="continuationSeparator" w:id="0">
    <w:p w:rsidR="00FC522A" w:rsidRDefault="00FC522A"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671704"/>
      <w:docPartObj>
        <w:docPartGallery w:val="Page Numbers (Bottom of Page)"/>
        <w:docPartUnique/>
      </w:docPartObj>
    </w:sdtPr>
    <w:sdtEndPr>
      <w:rPr>
        <w:color w:val="7F7F7F" w:themeColor="background1" w:themeShade="7F"/>
        <w:spacing w:val="60"/>
      </w:rPr>
    </w:sdtEndPr>
    <w:sdtContent>
      <w:p w:rsidR="001D36F6" w:rsidRDefault="001D36F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C522A" w:rsidRPr="00FC522A">
          <w:rPr>
            <w:b/>
            <w:bCs/>
            <w:noProof/>
          </w:rPr>
          <w:t>1</w:t>
        </w:r>
        <w:r>
          <w:rPr>
            <w:b/>
            <w:bCs/>
            <w:noProof/>
          </w:rPr>
          <w:fldChar w:fldCharType="end"/>
        </w:r>
        <w:r>
          <w:rPr>
            <w:b/>
            <w:bCs/>
          </w:rPr>
          <w:t xml:space="preserve"> | </w:t>
        </w:r>
        <w:r>
          <w:rPr>
            <w:color w:val="7F7F7F" w:themeColor="background1" w:themeShade="7F"/>
            <w:spacing w:val="60"/>
          </w:rPr>
          <w:t>Page</w:t>
        </w:r>
      </w:p>
    </w:sdtContent>
  </w:sdt>
  <w:p w:rsidR="001D36F6" w:rsidRDefault="001D3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22A" w:rsidRDefault="00FC522A" w:rsidP="00381931">
      <w:pPr>
        <w:spacing w:after="0"/>
      </w:pPr>
      <w:r>
        <w:separator/>
      </w:r>
    </w:p>
  </w:footnote>
  <w:footnote w:type="continuationSeparator" w:id="0">
    <w:p w:rsidR="00FC522A" w:rsidRDefault="00FC522A"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31" w:rsidRDefault="00381931">
    <w:pPr>
      <w:pStyle w:val="Header"/>
    </w:pPr>
    <w:r>
      <w:t>Objection</w:t>
    </w:r>
    <w:r w:rsidR="008F5476">
      <w:t xml:space="preserve"> Response POWLLA # 19-10-00-0016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06842"/>
    <w:multiLevelType w:val="hybridMultilevel"/>
    <w:tmpl w:val="D1E860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F6A0B"/>
    <w:rsid w:val="0011700E"/>
    <w:rsid w:val="00134F0E"/>
    <w:rsid w:val="001A35C6"/>
    <w:rsid w:val="001D36F6"/>
    <w:rsid w:val="001E5D22"/>
    <w:rsid w:val="00227BA0"/>
    <w:rsid w:val="00275AB9"/>
    <w:rsid w:val="002A7249"/>
    <w:rsid w:val="002E0B56"/>
    <w:rsid w:val="00323E84"/>
    <w:rsid w:val="00381931"/>
    <w:rsid w:val="00451609"/>
    <w:rsid w:val="00470104"/>
    <w:rsid w:val="0047257E"/>
    <w:rsid w:val="004A2A92"/>
    <w:rsid w:val="004D26DB"/>
    <w:rsid w:val="004F2F3F"/>
    <w:rsid w:val="00511EA5"/>
    <w:rsid w:val="005A66E7"/>
    <w:rsid w:val="005D6A6F"/>
    <w:rsid w:val="005E5B52"/>
    <w:rsid w:val="006311FF"/>
    <w:rsid w:val="00684BE9"/>
    <w:rsid w:val="006B6FA2"/>
    <w:rsid w:val="006E41DD"/>
    <w:rsid w:val="00703120"/>
    <w:rsid w:val="00750DCD"/>
    <w:rsid w:val="00792100"/>
    <w:rsid w:val="00795259"/>
    <w:rsid w:val="008648E4"/>
    <w:rsid w:val="0089492E"/>
    <w:rsid w:val="008E6EBA"/>
    <w:rsid w:val="008F5476"/>
    <w:rsid w:val="00937765"/>
    <w:rsid w:val="00942940"/>
    <w:rsid w:val="00946130"/>
    <w:rsid w:val="00973DCC"/>
    <w:rsid w:val="00992B5F"/>
    <w:rsid w:val="00A51C42"/>
    <w:rsid w:val="00A57F58"/>
    <w:rsid w:val="00A82C39"/>
    <w:rsid w:val="00B66B1E"/>
    <w:rsid w:val="00B74046"/>
    <w:rsid w:val="00B85D5F"/>
    <w:rsid w:val="00B93C58"/>
    <w:rsid w:val="00C00428"/>
    <w:rsid w:val="00C10088"/>
    <w:rsid w:val="00C64B91"/>
    <w:rsid w:val="00C77412"/>
    <w:rsid w:val="00CA007D"/>
    <w:rsid w:val="00CF4DA5"/>
    <w:rsid w:val="00D357C9"/>
    <w:rsid w:val="00D420C3"/>
    <w:rsid w:val="00D44027"/>
    <w:rsid w:val="00D86723"/>
    <w:rsid w:val="00DC3261"/>
    <w:rsid w:val="00DE1E9A"/>
    <w:rsid w:val="00E82AA5"/>
    <w:rsid w:val="00EC005D"/>
    <w:rsid w:val="00EC1C32"/>
    <w:rsid w:val="00F2025D"/>
    <w:rsid w:val="00F56B55"/>
    <w:rsid w:val="00FC4DD9"/>
    <w:rsid w:val="00FC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511EA5"/>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nhideWhenUsed/>
    <w:qFormat/>
    <w:rsid w:val="002E0B56"/>
    <w:pPr>
      <w:keepNext/>
      <w:keepLines/>
      <w:spacing w:before="120" w:after="0"/>
      <w:outlineLvl w:val="1"/>
    </w:pPr>
    <w:rPr>
      <w:rFonts w:asciiTheme="minorHAnsi" w:eastAsia="Calibri" w:hAnsiTheme="minorHAnsi" w:cstheme="minorHAns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0B56"/>
    <w:rPr>
      <w:rFonts w:eastAsia="Calibri" w:cstheme="minorHAnsi"/>
      <w:b/>
      <w:szCs w:val="26"/>
    </w:rPr>
  </w:style>
  <w:style w:type="character" w:customStyle="1" w:styleId="Heading1Char">
    <w:name w:val="Heading 1 Char"/>
    <w:basedOn w:val="DefaultParagraphFont"/>
    <w:link w:val="Heading1"/>
    <w:uiPriority w:val="9"/>
    <w:rsid w:val="00511EA5"/>
    <w:rPr>
      <w:rFonts w:asciiTheme="majorHAnsi" w:eastAsiaTheme="majorEastAsia" w:hAnsiTheme="majorHAnsi" w:cstheme="majorBidi"/>
      <w:b/>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2019-03-02T00:19:00Z</dcterms:created>
  <dcterms:modified xsi:type="dcterms:W3CDTF">2019-03-02T00:19:00Z</dcterms:modified>
</cp:coreProperties>
</file>