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2CDAE" w14:textId="3488E064" w:rsidR="00523E72" w:rsidRPr="00523E72" w:rsidRDefault="2C615F48" w:rsidP="2C615F48">
      <w:pPr>
        <w:pStyle w:val="Heading2"/>
        <w:spacing w:before="0" w:after="0"/>
        <w:rPr>
          <w:rFonts w:eastAsiaTheme="minorEastAsia"/>
        </w:rPr>
      </w:pPr>
      <w:r w:rsidRPr="2C615F48">
        <w:rPr>
          <w:rFonts w:eastAsiaTheme="minorEastAsia"/>
        </w:rPr>
        <w:t>Collaborative Forest Landscape Restoration Program (CFLRP) Overview</w:t>
      </w:r>
    </w:p>
    <w:p w14:paraId="531D7809" w14:textId="21C5168A" w:rsidR="00523E72" w:rsidRPr="00523E72" w:rsidRDefault="30553CD3" w:rsidP="30553CD3">
      <w:pPr>
        <w:pStyle w:val="Heading3"/>
        <w:rPr>
          <w:rFonts w:eastAsiaTheme="minorEastAsia" w:cstheme="minorBidi"/>
          <w:color w:val="auto"/>
          <w:sz w:val="22"/>
          <w:szCs w:val="22"/>
        </w:rPr>
      </w:pPr>
      <w:r w:rsidRPr="30553CD3">
        <w:rPr>
          <w:rFonts w:eastAsiaTheme="minorEastAsia" w:cstheme="minorBidi"/>
          <w:b/>
          <w:bCs/>
          <w:color w:val="auto"/>
          <w:sz w:val="22"/>
          <w:szCs w:val="22"/>
        </w:rPr>
        <w:t>CFLRP accelerates active management on high-priority landscapes to deliver multiple benefits to the American people</w:t>
      </w:r>
      <w:r w:rsidRPr="30553CD3">
        <w:rPr>
          <w:rFonts w:eastAsiaTheme="minorEastAsia" w:cstheme="minorBidi"/>
          <w:color w:val="auto"/>
          <w:sz w:val="22"/>
          <w:szCs w:val="22"/>
        </w:rPr>
        <w:t xml:space="preserve"> – reduced wildfire risk, rural jobs, wood products, wildlife habitat, recreation, and clean water. With its support for </w:t>
      </w:r>
      <w:r w:rsidR="00DD4869" w:rsidRPr="30553CD3">
        <w:rPr>
          <w:rFonts w:eastAsiaTheme="minorEastAsia" w:cstheme="minorBidi"/>
          <w:color w:val="auto"/>
          <w:sz w:val="22"/>
          <w:szCs w:val="22"/>
        </w:rPr>
        <w:t>locally driven</w:t>
      </w:r>
      <w:r w:rsidRPr="30553CD3">
        <w:rPr>
          <w:rFonts w:eastAsiaTheme="minorEastAsia" w:cstheme="minorBidi"/>
          <w:color w:val="auto"/>
          <w:sz w:val="22"/>
          <w:szCs w:val="22"/>
        </w:rPr>
        <w:t xml:space="preserve"> action, the Program brings community members together to expand shared capacity to treat hundreds of thousands of acres every year.  </w:t>
      </w:r>
    </w:p>
    <w:p w14:paraId="722D7053" w14:textId="77777777" w:rsidR="00523E72" w:rsidRDefault="00523E72" w:rsidP="00523E72">
      <w:pPr>
        <w:pStyle w:val="Heading3"/>
        <w:rPr>
          <w:rFonts w:eastAsiaTheme="minorEastAsia" w:cstheme="minorBidi"/>
          <w:color w:val="auto"/>
          <w:sz w:val="22"/>
          <w:szCs w:val="22"/>
        </w:rPr>
      </w:pPr>
      <w:r w:rsidRPr="00523E72">
        <w:rPr>
          <w:rFonts w:eastAsiaTheme="minorEastAsia" w:cstheme="minorBidi"/>
          <w:b/>
          <w:bCs/>
          <w:color w:val="auto"/>
          <w:sz w:val="22"/>
          <w:szCs w:val="22"/>
        </w:rPr>
        <w:t>First authorized by Congress in 2009, CFLRP selects Landscapes through a competitive process based on locally developed proposals</w:t>
      </w:r>
      <w:r w:rsidRPr="00523E72">
        <w:rPr>
          <w:rFonts w:eastAsiaTheme="minorEastAsia" w:cstheme="minorBidi"/>
          <w:color w:val="auto"/>
          <w:sz w:val="22"/>
          <w:szCs w:val="22"/>
        </w:rPr>
        <w:t xml:space="preserve">. Landscapes must be at least 50,000 acres and initial planning must be complete. The Secretary of Agriculture selects proposals for ten years with the possibility of a one-time extension. Program funding may cover up to 50% of the costs of implementation and monitoring. There have been 31 CFLRP landscapes to date; 17 are active. Seven proposals are approved and await funding. </w:t>
      </w:r>
    </w:p>
    <w:p w14:paraId="38A81D8F" w14:textId="4ACE94C0" w:rsidR="0026556A" w:rsidRDefault="3C955D8B" w:rsidP="00523E72">
      <w:pPr>
        <w:pStyle w:val="Heading3"/>
        <w:rPr>
          <w:rFonts w:eastAsiaTheme="minorEastAsia"/>
        </w:rPr>
      </w:pPr>
      <w:r w:rsidRPr="3C955D8B">
        <w:rPr>
          <w:rFonts w:eastAsiaTheme="minorEastAsia"/>
        </w:rPr>
        <w:t>National Impact: CFLRP Delivers Results At-Scale</w:t>
      </w:r>
    </w:p>
    <w:p w14:paraId="1EBA42E3" w14:textId="45883426" w:rsidR="00523E72" w:rsidRDefault="00DD4869" w:rsidP="6232D868">
      <w:pPr>
        <w:spacing w:after="0" w:line="240" w:lineRule="auto"/>
        <w:rPr>
          <w:rFonts w:eastAsiaTheme="minorEastAsia"/>
        </w:rPr>
      </w:pPr>
      <w:r w:rsidRPr="00523E72">
        <w:rPr>
          <w:rFonts w:eastAsiaTheme="minorEastAsia"/>
          <w:b/>
          <w:bCs/>
        </w:rPr>
        <w:t>To date</w:t>
      </w:r>
      <w:r w:rsidR="00523E72" w:rsidRPr="00523E72">
        <w:rPr>
          <w:rFonts w:eastAsiaTheme="minorEastAsia"/>
          <w:b/>
          <w:bCs/>
        </w:rPr>
        <w:t xml:space="preserve">, CFLRP practitioners have implemented over 6.7 million acres of active management, an area the size of Massachusetts. </w:t>
      </w:r>
      <w:r w:rsidR="007F7A06" w:rsidRPr="007F7A06">
        <w:rPr>
          <w:rFonts w:eastAsiaTheme="minorEastAsia"/>
        </w:rPr>
        <w:t>CFLRP landscapes included 13% of the total area of NFS lands and 24% of NFS acres improved, maintained, and recovering</w:t>
      </w:r>
      <w:r w:rsidR="007F7A06">
        <w:rPr>
          <w:rFonts w:eastAsiaTheme="minorEastAsia"/>
        </w:rPr>
        <w:t xml:space="preserve"> in FY23</w:t>
      </w:r>
      <w:r w:rsidR="007F7A06" w:rsidRPr="007F7A06">
        <w:rPr>
          <w:rFonts w:eastAsiaTheme="minorEastAsia"/>
        </w:rPr>
        <w:t>.</w:t>
      </w:r>
      <w:r w:rsidR="007F7A06">
        <w:rPr>
          <w:rFonts w:eastAsiaTheme="minorEastAsia"/>
        </w:rPr>
        <w:t xml:space="preserve"> </w:t>
      </w:r>
      <w:r w:rsidR="00523E72" w:rsidRPr="00523E72">
        <w:rPr>
          <w:rFonts w:eastAsiaTheme="minorEastAsia"/>
        </w:rPr>
        <w:t>Treatments reduce risk to communities, increase firefighter safety, and protect natural resources, wildlife habitat, and water supplies.  The program has seen success in increasing the scale of treatment through collaborative, partnership-driven approaches that expand capacity and cross-boundary focus.</w:t>
      </w:r>
      <w:r w:rsidR="007F7A06">
        <w:rPr>
          <w:rFonts w:eastAsiaTheme="minorEastAsia"/>
        </w:rPr>
        <w:t xml:space="preserve"> </w:t>
      </w:r>
    </w:p>
    <w:p w14:paraId="4AF2203B" w14:textId="77777777" w:rsidR="00523E72" w:rsidRDefault="00523E72" w:rsidP="6232D868">
      <w:pPr>
        <w:spacing w:after="0" w:line="240" w:lineRule="auto"/>
        <w:rPr>
          <w:rFonts w:eastAsiaTheme="minorEastAsia"/>
        </w:rPr>
      </w:pPr>
    </w:p>
    <w:p w14:paraId="2D85B5DC" w14:textId="6AA4AF9E" w:rsidR="0026556A" w:rsidRDefault="6232D868" w:rsidP="6232D868">
      <w:pPr>
        <w:spacing w:after="0" w:line="240" w:lineRule="auto"/>
        <w:rPr>
          <w:rFonts w:eastAsiaTheme="minorEastAsia"/>
          <w:color w:val="000000" w:themeColor="text1"/>
        </w:rPr>
      </w:pPr>
      <w:r w:rsidRPr="6232D868">
        <w:rPr>
          <w:rFonts w:eastAsiaTheme="minorEastAsia"/>
          <w:b/>
          <w:bCs/>
          <w:color w:val="000000" w:themeColor="text1"/>
        </w:rPr>
        <w:t>Reduces threat of wildfire to valued resources:</w:t>
      </w:r>
      <w:r w:rsidRPr="6232D868">
        <w:rPr>
          <w:rFonts w:eastAsiaTheme="minorEastAsia"/>
          <w:color w:val="000000" w:themeColor="text1"/>
        </w:rPr>
        <w:t xml:space="preserve"> </w:t>
      </w:r>
    </w:p>
    <w:p w14:paraId="4E1005D6" w14:textId="77777777" w:rsidR="00523E72" w:rsidRPr="00523E72" w:rsidRDefault="5C7B82CB" w:rsidP="00523E72">
      <w:pPr>
        <w:pStyle w:val="ListParagraph"/>
        <w:numPr>
          <w:ilvl w:val="0"/>
          <w:numId w:val="11"/>
        </w:numPr>
        <w:spacing w:after="0" w:line="240" w:lineRule="auto"/>
        <w:rPr>
          <w:rFonts w:eastAsiaTheme="minorEastAsia"/>
        </w:rPr>
      </w:pPr>
      <w:r w:rsidRPr="61839EE0">
        <w:rPr>
          <w:rFonts w:eastAsiaTheme="minorEastAsia"/>
          <w:color w:val="000000" w:themeColor="text1"/>
        </w:rPr>
        <w:t xml:space="preserve">Treated </w:t>
      </w:r>
      <w:r w:rsidRPr="00446336">
        <w:rPr>
          <w:rFonts w:eastAsiaTheme="minorEastAsia"/>
          <w:color w:val="000000" w:themeColor="text1"/>
        </w:rPr>
        <w:t>5.</w:t>
      </w:r>
      <w:r w:rsidR="002D549E">
        <w:rPr>
          <w:rFonts w:eastAsiaTheme="minorEastAsia"/>
          <w:color w:val="000000" w:themeColor="text1"/>
        </w:rPr>
        <w:t>3</w:t>
      </w:r>
      <w:r w:rsidRPr="00446336">
        <w:rPr>
          <w:rFonts w:eastAsiaTheme="minorEastAsia"/>
          <w:color w:val="000000" w:themeColor="text1"/>
        </w:rPr>
        <w:t xml:space="preserve"> million acres to reduce the risk of catastrophic wildfire,</w:t>
      </w:r>
      <w:r w:rsidRPr="00446336">
        <w:rPr>
          <w:rFonts w:eastAsiaTheme="minorEastAsia"/>
          <w:i/>
          <w:iCs/>
          <w:color w:val="000000" w:themeColor="text1"/>
        </w:rPr>
        <w:t xml:space="preserve"> </w:t>
      </w:r>
      <w:r w:rsidRPr="00446336">
        <w:rPr>
          <w:rFonts w:eastAsiaTheme="minorEastAsia"/>
          <w:color w:val="000000" w:themeColor="text1"/>
        </w:rPr>
        <w:t>⅔ in the wildland urban interface</w:t>
      </w:r>
      <w:r w:rsidR="00523E72">
        <w:rPr>
          <w:rFonts w:eastAsiaTheme="minorEastAsia"/>
          <w:color w:val="000000" w:themeColor="text1"/>
        </w:rPr>
        <w:t xml:space="preserve"> (WUI)</w:t>
      </w:r>
      <w:r w:rsidR="000135B4" w:rsidRPr="00446336">
        <w:rPr>
          <w:rStyle w:val="EndnoteReference"/>
          <w:rFonts w:eastAsiaTheme="minorEastAsia"/>
          <w:color w:val="000000" w:themeColor="text1"/>
        </w:rPr>
        <w:endnoteReference w:id="1"/>
      </w:r>
      <w:r w:rsidR="000135B4" w:rsidRPr="00446336">
        <w:rPr>
          <w:rFonts w:eastAsiaTheme="minorEastAsia"/>
          <w:color w:val="000000" w:themeColor="text1"/>
        </w:rPr>
        <w:t xml:space="preserve"> </w:t>
      </w:r>
    </w:p>
    <w:p w14:paraId="0C7464E1" w14:textId="2EBAC478" w:rsidR="000135B4" w:rsidRPr="00523E72" w:rsidRDefault="00523E72" w:rsidP="00523E72">
      <w:pPr>
        <w:pStyle w:val="ListParagraph"/>
        <w:numPr>
          <w:ilvl w:val="0"/>
          <w:numId w:val="11"/>
        </w:numPr>
        <w:spacing w:after="0" w:line="240" w:lineRule="auto"/>
        <w:rPr>
          <w:rFonts w:eastAsiaTheme="minorEastAsia"/>
        </w:rPr>
      </w:pPr>
      <w:r w:rsidRPr="00523E72">
        <w:rPr>
          <w:rFonts w:eastAsiaTheme="minorEastAsia"/>
        </w:rPr>
        <w:t xml:space="preserve">CFLRP treatments helped control or moderate fire behavior 83% of the time when wildfires have burned through treated areas, according to local fire suppression </w:t>
      </w:r>
      <w:r w:rsidR="000135B4" w:rsidRPr="00523E72">
        <w:rPr>
          <w:rFonts w:eastAsiaTheme="minorEastAsia"/>
        </w:rPr>
        <w:t>staff</w:t>
      </w:r>
      <w:r w:rsidR="000135B4" w:rsidRPr="00446336">
        <w:rPr>
          <w:rStyle w:val="EndnoteReference"/>
          <w:rFonts w:eastAsiaTheme="minorEastAsia"/>
        </w:rPr>
        <w:endnoteReference w:id="2"/>
      </w:r>
      <w:r w:rsidR="000135B4" w:rsidRPr="00523E72">
        <w:rPr>
          <w:rFonts w:eastAsiaTheme="minorEastAsia"/>
        </w:rPr>
        <w:t xml:space="preserve"> </w:t>
      </w:r>
    </w:p>
    <w:p w14:paraId="0A252974" w14:textId="69DAD800" w:rsidR="000135B4" w:rsidRPr="00446336" w:rsidRDefault="000135B4" w:rsidP="3C955D8B">
      <w:pPr>
        <w:pStyle w:val="ListParagraph"/>
        <w:numPr>
          <w:ilvl w:val="0"/>
          <w:numId w:val="11"/>
        </w:numPr>
        <w:spacing w:after="0" w:line="240" w:lineRule="auto"/>
        <w:rPr>
          <w:rFonts w:eastAsiaTheme="minorEastAsia"/>
        </w:rPr>
      </w:pPr>
      <w:r w:rsidRPr="00446336">
        <w:rPr>
          <w:rFonts w:eastAsiaTheme="minorEastAsia"/>
        </w:rPr>
        <w:t>CFLRP landscapes have contributed 13% of the Forest Service’s total fuels reduction treatments on NFS lands in the WUI</w:t>
      </w:r>
      <w:r w:rsidRPr="00446336">
        <w:rPr>
          <w:rStyle w:val="EndnoteReference"/>
          <w:rFonts w:eastAsiaTheme="minorEastAsia"/>
        </w:rPr>
        <w:endnoteReference w:id="3"/>
      </w:r>
    </w:p>
    <w:p w14:paraId="038E7A35" w14:textId="4E8CC458" w:rsidR="000135B4" w:rsidRPr="00446336" w:rsidRDefault="000135B4" w:rsidP="3C955D8B">
      <w:pPr>
        <w:spacing w:after="0" w:line="240" w:lineRule="auto"/>
        <w:rPr>
          <w:rFonts w:eastAsiaTheme="minorEastAsia"/>
          <w:color w:val="000000" w:themeColor="text1"/>
        </w:rPr>
      </w:pPr>
      <w:r w:rsidRPr="00446336">
        <w:rPr>
          <w:rFonts w:eastAsiaTheme="minorEastAsia"/>
          <w:b/>
          <w:bCs/>
          <w:color w:val="000000" w:themeColor="text1"/>
        </w:rPr>
        <w:t>Generates wood products and bolster</w:t>
      </w:r>
      <w:r w:rsidR="00523E72">
        <w:rPr>
          <w:rFonts w:eastAsiaTheme="minorEastAsia"/>
          <w:b/>
          <w:bCs/>
          <w:color w:val="000000" w:themeColor="text1"/>
        </w:rPr>
        <w:t xml:space="preserve">s </w:t>
      </w:r>
      <w:r w:rsidRPr="00446336">
        <w:rPr>
          <w:rFonts w:eastAsiaTheme="minorEastAsia"/>
          <w:b/>
          <w:bCs/>
          <w:color w:val="000000" w:themeColor="text1"/>
        </w:rPr>
        <w:t>industry:</w:t>
      </w:r>
      <w:r w:rsidRPr="00446336">
        <w:rPr>
          <w:rFonts w:eastAsiaTheme="minorEastAsia"/>
          <w:color w:val="000000" w:themeColor="text1"/>
        </w:rPr>
        <w:t xml:space="preserve"> </w:t>
      </w:r>
    </w:p>
    <w:p w14:paraId="6C490A44" w14:textId="57BCBF34" w:rsidR="000135B4" w:rsidRPr="00446336" w:rsidRDefault="000135B4" w:rsidP="3C955D8B">
      <w:pPr>
        <w:pStyle w:val="ListParagraph"/>
        <w:numPr>
          <w:ilvl w:val="0"/>
          <w:numId w:val="10"/>
        </w:numPr>
        <w:spacing w:after="0" w:line="240" w:lineRule="auto"/>
        <w:rPr>
          <w:rFonts w:eastAsiaTheme="minorEastAsia"/>
        </w:rPr>
      </w:pPr>
      <w:r w:rsidRPr="00446336">
        <w:rPr>
          <w:rFonts w:eastAsiaTheme="minorEastAsia"/>
          <w:color w:val="000000" w:themeColor="text1"/>
        </w:rPr>
        <w:t>Sold 4.4 billion board feet of timber</w:t>
      </w:r>
      <w:r w:rsidR="009A6C54" w:rsidRPr="00446336">
        <w:rPr>
          <w:rStyle w:val="EndnoteReference"/>
          <w:rFonts w:eastAsiaTheme="minorEastAsia"/>
          <w:color w:val="000000" w:themeColor="text1"/>
        </w:rPr>
        <w:t>i</w:t>
      </w:r>
    </w:p>
    <w:p w14:paraId="00AC2DE7" w14:textId="5E6F499B" w:rsidR="000135B4" w:rsidRPr="00446336" w:rsidRDefault="00523E72" w:rsidP="3C955D8B">
      <w:pPr>
        <w:pStyle w:val="ListParagraph"/>
        <w:numPr>
          <w:ilvl w:val="0"/>
          <w:numId w:val="10"/>
        </w:numPr>
        <w:spacing w:after="0" w:line="240" w:lineRule="auto"/>
        <w:rPr>
          <w:rFonts w:eastAsiaTheme="minorEastAsia"/>
        </w:rPr>
      </w:pPr>
      <w:r>
        <w:rPr>
          <w:rFonts w:eastAsiaTheme="minorEastAsia"/>
          <w:color w:val="000000" w:themeColor="text1"/>
        </w:rPr>
        <w:t>C</w:t>
      </w:r>
      <w:r w:rsidR="000135B4" w:rsidRPr="00446336">
        <w:rPr>
          <w:rFonts w:eastAsiaTheme="minorEastAsia"/>
          <w:color w:val="000000" w:themeColor="text1"/>
        </w:rPr>
        <w:t>ontributed 11% of the Forest Service’s total timber volume sold</w:t>
      </w:r>
      <w:r w:rsidR="009A6C54" w:rsidRPr="00446336">
        <w:rPr>
          <w:rStyle w:val="EndnoteReference"/>
          <w:rFonts w:eastAsiaTheme="minorEastAsia"/>
          <w:color w:val="000000" w:themeColor="text1"/>
        </w:rPr>
        <w:t>i</w:t>
      </w:r>
      <w:r w:rsidR="009A6C54" w:rsidRPr="00446336">
        <w:rPr>
          <w:rStyle w:val="EndnoteReference"/>
        </w:rPr>
        <w:t>ii</w:t>
      </w:r>
    </w:p>
    <w:p w14:paraId="478AD5A2" w14:textId="41A9D09F" w:rsidR="000135B4" w:rsidRPr="00446336" w:rsidRDefault="000135B4" w:rsidP="3C955D8B">
      <w:pPr>
        <w:pStyle w:val="ListParagraph"/>
        <w:numPr>
          <w:ilvl w:val="0"/>
          <w:numId w:val="10"/>
        </w:numPr>
        <w:spacing w:after="0" w:line="240" w:lineRule="auto"/>
        <w:rPr>
          <w:rFonts w:eastAsiaTheme="minorEastAsia"/>
        </w:rPr>
      </w:pPr>
      <w:r w:rsidRPr="00446336">
        <w:rPr>
          <w:rFonts w:eastAsiaTheme="minorEastAsia"/>
        </w:rPr>
        <w:t>Supported an annual average of 4,860 jobs, 78% in timber harvest and processing</w:t>
      </w:r>
      <w:r w:rsidRPr="00446336">
        <w:rPr>
          <w:rStyle w:val="EndnoteReference"/>
          <w:rFonts w:eastAsiaTheme="minorEastAsia"/>
        </w:rPr>
        <w:endnoteReference w:id="4"/>
      </w:r>
      <w:r w:rsidRPr="00446336">
        <w:rPr>
          <w:rFonts w:eastAsiaTheme="minorEastAsia"/>
        </w:rPr>
        <w:t xml:space="preserve"> </w:t>
      </w:r>
    </w:p>
    <w:p w14:paraId="19D6C983" w14:textId="22FD0C20" w:rsidR="000135B4" w:rsidRPr="00446336" w:rsidRDefault="00523E72" w:rsidP="3C955D8B">
      <w:pPr>
        <w:pStyle w:val="ListParagraph"/>
        <w:numPr>
          <w:ilvl w:val="0"/>
          <w:numId w:val="10"/>
        </w:numPr>
        <w:spacing w:after="0" w:line="240" w:lineRule="auto"/>
        <w:rPr>
          <w:rFonts w:eastAsiaTheme="minorEastAsia"/>
        </w:rPr>
      </w:pPr>
      <w:r>
        <w:rPr>
          <w:rFonts w:eastAsiaTheme="minorEastAsia"/>
        </w:rPr>
        <w:t>Nine</w:t>
      </w:r>
      <w:r w:rsidR="000135B4" w:rsidRPr="00446336">
        <w:rPr>
          <w:rFonts w:eastAsiaTheme="minorEastAsia"/>
        </w:rPr>
        <w:t xml:space="preserve"> of the top 20 National Forests for timber volume awarded </w:t>
      </w:r>
      <w:r w:rsidR="00DD4869">
        <w:rPr>
          <w:rFonts w:eastAsiaTheme="minorEastAsia"/>
        </w:rPr>
        <w:t xml:space="preserve">in FY24 are </w:t>
      </w:r>
      <w:r w:rsidR="000135B4" w:rsidRPr="00446336">
        <w:rPr>
          <w:rFonts w:eastAsiaTheme="minorEastAsia"/>
        </w:rPr>
        <w:t>CFLRP forests</w:t>
      </w:r>
      <w:r w:rsidR="000135B4" w:rsidRPr="00446336">
        <w:rPr>
          <w:rStyle w:val="EndnoteReference"/>
          <w:rFonts w:eastAsiaTheme="minorEastAsia"/>
        </w:rPr>
        <w:endnoteReference w:id="5"/>
      </w:r>
    </w:p>
    <w:p w14:paraId="39615C7B" w14:textId="2853274D" w:rsidR="0026556A" w:rsidRPr="00446336" w:rsidRDefault="43C5FA4C" w:rsidP="43C5FA4C">
      <w:pPr>
        <w:spacing w:after="0" w:line="240" w:lineRule="auto"/>
        <w:rPr>
          <w:rFonts w:eastAsiaTheme="minorEastAsia"/>
          <w:color w:val="000000" w:themeColor="text1"/>
        </w:rPr>
      </w:pPr>
      <w:r w:rsidRPr="00446336">
        <w:rPr>
          <w:rFonts w:eastAsiaTheme="minorEastAsia"/>
          <w:b/>
          <w:bCs/>
          <w:color w:val="000000" w:themeColor="text1"/>
        </w:rPr>
        <w:t>Advances rural prosperity:</w:t>
      </w:r>
    </w:p>
    <w:p w14:paraId="6A849732" w14:textId="1A29F724" w:rsidR="0026556A" w:rsidRPr="00446336" w:rsidRDefault="00523E72" w:rsidP="4C30E61A">
      <w:pPr>
        <w:pStyle w:val="ListParagraph"/>
        <w:numPr>
          <w:ilvl w:val="0"/>
          <w:numId w:val="9"/>
        </w:numPr>
        <w:spacing w:after="0" w:line="240" w:lineRule="auto"/>
        <w:rPr>
          <w:rFonts w:eastAsiaTheme="minorEastAsia"/>
          <w:color w:val="000000" w:themeColor="text1"/>
        </w:rPr>
      </w:pPr>
      <w:r>
        <w:rPr>
          <w:rFonts w:eastAsiaTheme="minorEastAsia"/>
          <w:color w:val="000000" w:themeColor="text1"/>
        </w:rPr>
        <w:t>Supports</w:t>
      </w:r>
      <w:r w:rsidR="4C30E61A" w:rsidRPr="00446336">
        <w:rPr>
          <w:rFonts w:eastAsiaTheme="minorEastAsia"/>
          <w:color w:val="000000" w:themeColor="text1"/>
        </w:rPr>
        <w:t xml:space="preserve"> an annual average of $21</w:t>
      </w:r>
      <w:r w:rsidR="000135B4" w:rsidRPr="00446336">
        <w:rPr>
          <w:rFonts w:eastAsiaTheme="minorEastAsia"/>
          <w:color w:val="000000" w:themeColor="text1"/>
        </w:rPr>
        <w:t>6</w:t>
      </w:r>
      <w:r w:rsidR="4C30E61A" w:rsidRPr="00446336">
        <w:rPr>
          <w:rFonts w:eastAsiaTheme="minorEastAsia"/>
          <w:color w:val="000000" w:themeColor="text1"/>
        </w:rPr>
        <w:t>M in local labor income</w:t>
      </w:r>
      <w:r w:rsidR="009A6C54" w:rsidRPr="00446336">
        <w:rPr>
          <w:rStyle w:val="FootnoteReference"/>
          <w:rFonts w:eastAsiaTheme="minorEastAsia"/>
        </w:rPr>
        <w:t>iv</w:t>
      </w:r>
    </w:p>
    <w:p w14:paraId="2CC3836E" w14:textId="29F70314" w:rsidR="0026556A" w:rsidRPr="002D549E" w:rsidRDefault="3C955D8B" w:rsidP="3C955D8B">
      <w:pPr>
        <w:pStyle w:val="ListParagraph"/>
        <w:numPr>
          <w:ilvl w:val="0"/>
          <w:numId w:val="9"/>
        </w:numPr>
        <w:spacing w:after="0" w:line="240" w:lineRule="auto"/>
        <w:rPr>
          <w:rFonts w:eastAsiaTheme="minorEastAsia"/>
          <w:color w:val="000000" w:themeColor="text1"/>
        </w:rPr>
      </w:pPr>
      <w:r w:rsidRPr="00446336">
        <w:rPr>
          <w:rFonts w:eastAsiaTheme="minorEastAsia"/>
          <w:color w:val="000000" w:themeColor="text1"/>
        </w:rPr>
        <w:t xml:space="preserve">Enhanced </w:t>
      </w:r>
      <w:r w:rsidR="00523E72">
        <w:rPr>
          <w:rFonts w:eastAsiaTheme="minorEastAsia"/>
          <w:color w:val="000000" w:themeColor="text1"/>
        </w:rPr>
        <w:t xml:space="preserve">wildlife habitat on </w:t>
      </w:r>
      <w:r w:rsidRPr="00446336">
        <w:rPr>
          <w:rFonts w:eastAsiaTheme="minorEastAsia"/>
          <w:color w:val="000000" w:themeColor="text1"/>
        </w:rPr>
        <w:t>4.</w:t>
      </w:r>
      <w:r w:rsidR="002D549E">
        <w:rPr>
          <w:rFonts w:eastAsiaTheme="minorEastAsia"/>
          <w:color w:val="000000" w:themeColor="text1"/>
        </w:rPr>
        <w:t>7</w:t>
      </w:r>
      <w:r w:rsidRPr="00446336">
        <w:rPr>
          <w:rFonts w:eastAsiaTheme="minorEastAsia"/>
          <w:color w:val="000000" w:themeColor="text1"/>
        </w:rPr>
        <w:t xml:space="preserve"> million acres and 2,</w:t>
      </w:r>
      <w:r w:rsidR="002D549E">
        <w:rPr>
          <w:rFonts w:eastAsiaTheme="minorEastAsia"/>
          <w:color w:val="000000" w:themeColor="text1"/>
        </w:rPr>
        <w:t>37</w:t>
      </w:r>
      <w:r w:rsidRPr="00446336">
        <w:rPr>
          <w:rFonts w:eastAsiaTheme="minorEastAsia"/>
          <w:color w:val="000000" w:themeColor="text1"/>
        </w:rPr>
        <w:t>0 miles of streams for 70+ species of animals and plants, including elk, turkey, and other game species</w:t>
      </w:r>
      <w:r w:rsidR="009A6C54" w:rsidRPr="00446336">
        <w:rPr>
          <w:rStyle w:val="FootnoteReference"/>
        </w:rPr>
        <w:t>i</w:t>
      </w:r>
    </w:p>
    <w:p w14:paraId="35BFCB6A" w14:textId="272F648E" w:rsidR="00523E72" w:rsidRPr="00446336" w:rsidRDefault="5921C45B" w:rsidP="5921C45B">
      <w:pPr>
        <w:pStyle w:val="ListParagraph"/>
        <w:numPr>
          <w:ilvl w:val="0"/>
          <w:numId w:val="9"/>
        </w:numPr>
        <w:spacing w:after="0" w:line="240" w:lineRule="auto"/>
        <w:rPr>
          <w:rFonts w:eastAsiaTheme="minorEastAsia"/>
          <w:color w:val="000000" w:themeColor="text1"/>
        </w:rPr>
      </w:pPr>
      <w:r w:rsidRPr="5921C45B">
        <w:rPr>
          <w:rFonts w:eastAsiaTheme="minorEastAsia"/>
        </w:rPr>
        <w:t>Improved 1,110 miles of trails</w:t>
      </w:r>
      <w:r w:rsidRPr="5921C45B">
        <w:rPr>
          <w:rStyle w:val="FootnoteReference"/>
        </w:rPr>
        <w:t>i</w:t>
      </w:r>
    </w:p>
    <w:p w14:paraId="6BA2FEAD" w14:textId="2947EF97" w:rsidR="002D549E" w:rsidRPr="00446336" w:rsidRDefault="002D549E" w:rsidP="3C955D8B">
      <w:pPr>
        <w:pStyle w:val="ListParagraph"/>
        <w:numPr>
          <w:ilvl w:val="0"/>
          <w:numId w:val="9"/>
        </w:numPr>
        <w:spacing w:after="0" w:line="240" w:lineRule="auto"/>
        <w:rPr>
          <w:rFonts w:eastAsiaTheme="minorEastAsia"/>
          <w:color w:val="000000" w:themeColor="text1"/>
        </w:rPr>
      </w:pPr>
      <w:r>
        <w:t xml:space="preserve">Improved range vegetation across 572,200 acres </w:t>
      </w:r>
    </w:p>
    <w:p w14:paraId="6076C3F0" w14:textId="3561AF2B" w:rsidR="0026556A" w:rsidRPr="00446336" w:rsidRDefault="3C955D8B" w:rsidP="3C955D8B">
      <w:pPr>
        <w:spacing w:after="0" w:line="240" w:lineRule="auto"/>
        <w:rPr>
          <w:rFonts w:eastAsiaTheme="minorEastAsia"/>
          <w:b/>
          <w:bCs/>
          <w:color w:val="000000" w:themeColor="text1"/>
        </w:rPr>
      </w:pPr>
      <w:r w:rsidRPr="00446336">
        <w:rPr>
          <w:rFonts w:eastAsiaTheme="minorEastAsia"/>
          <w:b/>
          <w:bCs/>
          <w:color w:val="000000" w:themeColor="text1"/>
        </w:rPr>
        <w:t>Enables local action and engagement in resource management:</w:t>
      </w:r>
    </w:p>
    <w:p w14:paraId="2B0DB17F" w14:textId="637183A8" w:rsidR="000135B4" w:rsidRPr="00446336" w:rsidRDefault="00523E72" w:rsidP="6232D868">
      <w:pPr>
        <w:pStyle w:val="ListParagraph"/>
        <w:numPr>
          <w:ilvl w:val="0"/>
          <w:numId w:val="13"/>
        </w:numPr>
        <w:spacing w:after="0" w:line="240" w:lineRule="auto"/>
        <w:ind w:left="720"/>
        <w:rPr>
          <w:rFonts w:eastAsiaTheme="minorEastAsia"/>
          <w:color w:val="000000" w:themeColor="text1"/>
        </w:rPr>
      </w:pPr>
      <w:r>
        <w:rPr>
          <w:rFonts w:eastAsiaTheme="minorEastAsia"/>
        </w:rPr>
        <w:t>Engaged</w:t>
      </w:r>
      <w:r w:rsidR="6232D868" w:rsidRPr="00446336">
        <w:rPr>
          <w:rFonts w:eastAsiaTheme="minorEastAsia"/>
        </w:rPr>
        <w:t xml:space="preserve"> </w:t>
      </w:r>
      <w:r w:rsidR="6232D868" w:rsidRPr="00446336">
        <w:rPr>
          <w:rFonts w:eastAsiaTheme="minorEastAsia"/>
          <w:color w:val="000000" w:themeColor="text1"/>
        </w:rPr>
        <w:t xml:space="preserve">720 local </w:t>
      </w:r>
      <w:r>
        <w:rPr>
          <w:rFonts w:eastAsiaTheme="minorEastAsia"/>
          <w:color w:val="000000" w:themeColor="text1"/>
        </w:rPr>
        <w:t>partners including</w:t>
      </w:r>
      <w:r w:rsidR="6232D868" w:rsidRPr="00446336">
        <w:rPr>
          <w:rFonts w:eastAsiaTheme="minorEastAsia"/>
          <w:color w:val="000000" w:themeColor="text1"/>
        </w:rPr>
        <w:t xml:space="preserve"> industry, utility companies, local governments, </w:t>
      </w:r>
      <w:r>
        <w:rPr>
          <w:rFonts w:eastAsiaTheme="minorEastAsia"/>
          <w:color w:val="000000" w:themeColor="text1"/>
        </w:rPr>
        <w:t>nonprofits</w:t>
      </w:r>
      <w:r w:rsidR="6232D868" w:rsidRPr="00446336">
        <w:rPr>
          <w:rFonts w:eastAsiaTheme="minorEastAsia"/>
          <w:color w:val="000000" w:themeColor="text1"/>
        </w:rPr>
        <w:t>, and state agencies</w:t>
      </w:r>
      <w:r w:rsidR="000135B4" w:rsidRPr="00446336">
        <w:rPr>
          <w:rStyle w:val="EndnoteReference"/>
          <w:rFonts w:eastAsiaTheme="minorEastAsia"/>
          <w:color w:val="000000" w:themeColor="text1"/>
        </w:rPr>
        <w:endnoteReference w:id="6"/>
      </w:r>
    </w:p>
    <w:p w14:paraId="0F355095" w14:textId="74A4E1CE" w:rsidR="3C955D8B" w:rsidRPr="00446336" w:rsidRDefault="61839EE0" w:rsidP="61839EE0">
      <w:pPr>
        <w:pStyle w:val="ListParagraph"/>
        <w:numPr>
          <w:ilvl w:val="0"/>
          <w:numId w:val="13"/>
        </w:numPr>
        <w:spacing w:after="0" w:line="240" w:lineRule="auto"/>
        <w:ind w:left="720"/>
        <w:rPr>
          <w:rFonts w:eastAsiaTheme="minorEastAsia"/>
          <w:color w:val="000000" w:themeColor="text1"/>
        </w:rPr>
      </w:pPr>
      <w:r w:rsidRPr="00446336">
        <w:rPr>
          <w:rFonts w:eastAsiaTheme="minorEastAsia"/>
          <w:color w:val="000000" w:themeColor="text1"/>
        </w:rPr>
        <w:t xml:space="preserve">Attracted $661 million in partner investments– for every </w:t>
      </w:r>
      <w:r w:rsidR="00523E72">
        <w:rPr>
          <w:rFonts w:eastAsiaTheme="minorEastAsia"/>
          <w:color w:val="000000" w:themeColor="text1"/>
        </w:rPr>
        <w:t>$1 of</w:t>
      </w:r>
      <w:r w:rsidRPr="00446336">
        <w:rPr>
          <w:rFonts w:eastAsiaTheme="minorEastAsia"/>
          <w:color w:val="000000" w:themeColor="text1"/>
        </w:rPr>
        <w:t xml:space="preserve"> CFLRP funding spent, partners contributed </w:t>
      </w:r>
      <w:r w:rsidR="00446336">
        <w:rPr>
          <w:rFonts w:eastAsiaTheme="minorEastAsia"/>
          <w:color w:val="000000" w:themeColor="text1"/>
        </w:rPr>
        <w:t xml:space="preserve">at least </w:t>
      </w:r>
      <w:r w:rsidRPr="00446336">
        <w:rPr>
          <w:rFonts w:eastAsiaTheme="minorEastAsia"/>
          <w:color w:val="000000" w:themeColor="text1"/>
        </w:rPr>
        <w:t>$1.6</w:t>
      </w:r>
      <w:r w:rsidR="00446336" w:rsidRPr="00446336">
        <w:rPr>
          <w:rFonts w:eastAsiaTheme="minorEastAsia"/>
          <w:color w:val="000000" w:themeColor="text1"/>
        </w:rPr>
        <w:t>4</w:t>
      </w:r>
      <w:r w:rsidR="00EF31E5">
        <w:rPr>
          <w:rStyle w:val="EndnoteReference"/>
          <w:rFonts w:eastAsiaTheme="minorEastAsia"/>
          <w:color w:val="000000" w:themeColor="text1"/>
        </w:rPr>
        <w:endnoteReference w:id="7"/>
      </w:r>
    </w:p>
    <w:p w14:paraId="4854ED09" w14:textId="1E850453" w:rsidR="3C955D8B" w:rsidRDefault="6AB0B28F" w:rsidP="6AB0B28F">
      <w:pPr>
        <w:pStyle w:val="Heading3"/>
        <w:rPr>
          <w:rFonts w:eastAsia="Aptos"/>
          <w:highlight w:val="yellow"/>
        </w:rPr>
      </w:pPr>
      <w:r w:rsidRPr="6AB0B28F">
        <w:rPr>
          <w:rFonts w:eastAsia="Aptos"/>
        </w:rPr>
        <w:lastRenderedPageBreak/>
        <w:t>Regional Impacts: CFLRP in the Pacific Northwest Region</w:t>
      </w:r>
    </w:p>
    <w:p w14:paraId="4E5F8D05" w14:textId="29C28497" w:rsidR="57C000F1" w:rsidRPr="00DD4869" w:rsidRDefault="57C000F1" w:rsidP="57C000F1">
      <w:pPr>
        <w:spacing w:line="257" w:lineRule="auto"/>
        <w:rPr>
          <w:rFonts w:ascii="Aptos" w:eastAsia="Aptos" w:hAnsi="Aptos" w:cs="Aptos"/>
        </w:rPr>
      </w:pPr>
      <w:r w:rsidRPr="00DD4869">
        <w:rPr>
          <w:rFonts w:ascii="Aptos" w:eastAsia="Aptos" w:hAnsi="Aptos" w:cs="Aptos"/>
        </w:rPr>
        <w:t xml:space="preserve">CFLRP has funded eight Landscapes in Region 6 </w:t>
      </w:r>
      <w:r w:rsidR="00DD4869" w:rsidRPr="00DD4869">
        <w:rPr>
          <w:rFonts w:ascii="Aptos" w:eastAsia="Aptos" w:hAnsi="Aptos" w:cs="Aptos"/>
        </w:rPr>
        <w:t>to date</w:t>
      </w:r>
      <w:r w:rsidRPr="00DD4869">
        <w:rPr>
          <w:rFonts w:ascii="Aptos" w:eastAsia="Aptos" w:hAnsi="Aptos" w:cs="Aptos"/>
        </w:rPr>
        <w:t>. Together, they have:</w:t>
      </w:r>
    </w:p>
    <w:p w14:paraId="285685B6" w14:textId="062F453C" w:rsidR="00523E72" w:rsidRPr="00DD4869" w:rsidRDefault="2C615F48" w:rsidP="6CB77AA6">
      <w:pPr>
        <w:pStyle w:val="ListParagraph"/>
        <w:numPr>
          <w:ilvl w:val="0"/>
          <w:numId w:val="8"/>
        </w:numPr>
        <w:spacing w:after="0" w:line="257" w:lineRule="auto"/>
        <w:rPr>
          <w:rFonts w:eastAsia="Arial" w:cs="Arial"/>
        </w:rPr>
      </w:pPr>
      <w:r w:rsidRPr="00DD4869">
        <w:rPr>
          <w:rFonts w:eastAsia="Aptos" w:cs="Aptos"/>
        </w:rPr>
        <w:t>Treated</w:t>
      </w:r>
      <w:r w:rsidRPr="00DD4869">
        <w:rPr>
          <w:rFonts w:eastAsia="Aptos" w:cs="Aptos"/>
          <w:b/>
          <w:bCs/>
        </w:rPr>
        <w:t xml:space="preserve"> over 1.2</w:t>
      </w:r>
      <w:r w:rsidR="00DD4869">
        <w:rPr>
          <w:rFonts w:eastAsia="Aptos" w:cs="Aptos"/>
          <w:b/>
          <w:bCs/>
        </w:rPr>
        <w:t xml:space="preserve"> million</w:t>
      </w:r>
      <w:r w:rsidRPr="00DD4869">
        <w:rPr>
          <w:rFonts w:eastAsia="Aptos" w:cs="Aptos"/>
          <w:b/>
          <w:bCs/>
        </w:rPr>
        <w:t xml:space="preserve"> acres to reduce risk </w:t>
      </w:r>
      <w:r w:rsidRPr="00DD4869">
        <w:rPr>
          <w:rFonts w:eastAsia="Aptos" w:cs="Aptos"/>
        </w:rPr>
        <w:t>of catastrophic wildfire</w:t>
      </w:r>
      <w:r w:rsidRPr="00DD4869">
        <w:rPr>
          <w:rStyle w:val="FootnoteReference"/>
          <w:rFonts w:eastAsiaTheme="minorEastAsia"/>
          <w:color w:val="000000" w:themeColor="text1"/>
        </w:rPr>
        <w:t>i</w:t>
      </w:r>
      <w:r w:rsidRPr="00DD4869">
        <w:rPr>
          <w:rFonts w:eastAsia="Arial" w:cs="Arial"/>
        </w:rPr>
        <w:t xml:space="preserve"> </w:t>
      </w:r>
    </w:p>
    <w:p w14:paraId="1A54505D" w14:textId="0891FD58" w:rsidR="00523E72" w:rsidRPr="00DD4869" w:rsidRDefault="776EC62F" w:rsidP="3A11B581">
      <w:pPr>
        <w:pStyle w:val="ListParagraph"/>
        <w:numPr>
          <w:ilvl w:val="0"/>
          <w:numId w:val="8"/>
        </w:numPr>
        <w:spacing w:after="0" w:line="257" w:lineRule="auto"/>
        <w:rPr>
          <w:rFonts w:eastAsia="Arial" w:cs="Arial"/>
        </w:rPr>
      </w:pPr>
      <w:r w:rsidRPr="00DD4869">
        <w:rPr>
          <w:rFonts w:eastAsia="Aptos" w:cs="Aptos"/>
        </w:rPr>
        <w:t xml:space="preserve">Sold more than </w:t>
      </w:r>
      <w:r w:rsidRPr="00DD4869">
        <w:rPr>
          <w:rFonts w:eastAsia="Aptos" w:cs="Aptos"/>
          <w:b/>
          <w:bCs/>
        </w:rPr>
        <w:t xml:space="preserve">1.4 </w:t>
      </w:r>
      <w:r w:rsidR="00DD4869" w:rsidRPr="00DD4869">
        <w:rPr>
          <w:rFonts w:eastAsia="Aptos" w:cs="Aptos"/>
          <w:b/>
          <w:bCs/>
        </w:rPr>
        <w:t>billion</w:t>
      </w:r>
      <w:r w:rsidRPr="00DD4869">
        <w:rPr>
          <w:rFonts w:eastAsia="Aptos" w:cs="Aptos"/>
          <w:b/>
          <w:bCs/>
        </w:rPr>
        <w:t xml:space="preserve"> board feet </w:t>
      </w:r>
      <w:r w:rsidRPr="00DD4869">
        <w:rPr>
          <w:rFonts w:eastAsia="Aptos" w:cs="Aptos"/>
        </w:rPr>
        <w:t>of timber</w:t>
      </w:r>
      <w:r w:rsidRPr="00DD4869">
        <w:rPr>
          <w:rStyle w:val="FootnoteReference"/>
        </w:rPr>
        <w:t>i</w:t>
      </w:r>
      <w:r w:rsidRPr="00DD4869">
        <w:rPr>
          <w:rStyle w:val="FootnoteReference"/>
          <w:rFonts w:eastAsiaTheme="minorEastAsia"/>
          <w:color w:val="000000" w:themeColor="text1"/>
        </w:rPr>
        <w:t xml:space="preserve"> </w:t>
      </w:r>
      <w:r w:rsidRPr="00DD4869">
        <w:rPr>
          <w:rFonts w:eastAsiaTheme="minorEastAsia"/>
          <w:color w:val="000000" w:themeColor="text1"/>
        </w:rPr>
        <w:t xml:space="preserve"> </w:t>
      </w:r>
    </w:p>
    <w:p w14:paraId="2F9BD0EF" w14:textId="7590043A" w:rsidR="00523E72" w:rsidRPr="00831D9F" w:rsidRDefault="5921C45B" w:rsidP="57C000F1">
      <w:pPr>
        <w:pStyle w:val="ListParagraph"/>
        <w:numPr>
          <w:ilvl w:val="0"/>
          <w:numId w:val="8"/>
        </w:numPr>
        <w:spacing w:after="0" w:line="257" w:lineRule="auto"/>
        <w:rPr>
          <w:rFonts w:eastAsia="Arial" w:cs="Arial"/>
        </w:rPr>
      </w:pPr>
      <w:r w:rsidRPr="5921C45B">
        <w:rPr>
          <w:rFonts w:eastAsia="Aptos" w:cs="Aptos"/>
          <w:b/>
          <w:bCs/>
        </w:rPr>
        <w:t>5 of the top 10</w:t>
      </w:r>
      <w:r w:rsidRPr="5921C45B">
        <w:rPr>
          <w:rFonts w:eastAsia="Aptos" w:cs="Aptos"/>
        </w:rPr>
        <w:t xml:space="preserve"> </w:t>
      </w:r>
      <w:r w:rsidRPr="5921C45B">
        <w:rPr>
          <w:rFonts w:eastAsia="Aptos" w:cs="Aptos"/>
          <w:b/>
          <w:bCs/>
        </w:rPr>
        <w:t>National Forests for timber volume awarded</w:t>
      </w:r>
      <w:r w:rsidRPr="5921C45B">
        <w:rPr>
          <w:rFonts w:eastAsia="Aptos" w:cs="Aptos"/>
        </w:rPr>
        <w:t xml:space="preserve"> in the Region in FY24 have active CFLRP projects</w:t>
      </w:r>
      <w:r w:rsidRPr="5921C45B">
        <w:rPr>
          <w:rStyle w:val="FootnoteReference"/>
          <w:rFonts w:eastAsiaTheme="minorEastAsia"/>
          <w:color w:val="000000" w:themeColor="text1"/>
        </w:rPr>
        <w:t>v</w:t>
      </w:r>
      <w:r w:rsidRPr="5921C45B">
        <w:rPr>
          <w:rFonts w:eastAsia="Arial" w:cs="Arial"/>
        </w:rPr>
        <w:t xml:space="preserve"> </w:t>
      </w:r>
    </w:p>
    <w:p w14:paraId="07AB2FCD" w14:textId="7172628A" w:rsidR="00523E72" w:rsidRPr="00F5432F" w:rsidRDefault="57C000F1" w:rsidP="57C000F1">
      <w:pPr>
        <w:pStyle w:val="ListParagraph"/>
        <w:numPr>
          <w:ilvl w:val="0"/>
          <w:numId w:val="8"/>
        </w:numPr>
        <w:spacing w:after="0" w:line="257" w:lineRule="auto"/>
        <w:rPr>
          <w:rFonts w:eastAsia="Arial" w:cs="Arial"/>
        </w:rPr>
      </w:pPr>
      <w:r w:rsidRPr="57C000F1">
        <w:rPr>
          <w:rFonts w:eastAsia="Arial" w:cs="Arial"/>
        </w:rPr>
        <w:t>Enhanced over 670,000 acres of wildlife habitat and 755 miles of streams</w:t>
      </w:r>
      <w:r w:rsidRPr="57C000F1">
        <w:rPr>
          <w:rStyle w:val="FootnoteReference"/>
          <w:rFonts w:eastAsiaTheme="minorEastAsia"/>
          <w:color w:val="000000" w:themeColor="text1"/>
        </w:rPr>
        <w:t xml:space="preserve"> i</w:t>
      </w:r>
      <w:r w:rsidRPr="57C000F1">
        <w:rPr>
          <w:rFonts w:eastAsia="Arial" w:cs="Arial"/>
        </w:rPr>
        <w:t xml:space="preserve"> </w:t>
      </w:r>
    </w:p>
    <w:p w14:paraId="4D55902E" w14:textId="08F45963" w:rsidR="00523E72" w:rsidRPr="008777A4" w:rsidRDefault="776EC62F" w:rsidP="57C000F1">
      <w:pPr>
        <w:pStyle w:val="ListParagraph"/>
        <w:numPr>
          <w:ilvl w:val="0"/>
          <w:numId w:val="8"/>
        </w:numPr>
        <w:spacing w:after="0" w:line="257" w:lineRule="auto"/>
        <w:rPr>
          <w:rFonts w:eastAsia="Arial" w:cs="Arial"/>
        </w:rPr>
      </w:pPr>
      <w:r w:rsidRPr="776EC62F">
        <w:rPr>
          <w:rFonts w:eastAsia="Aptos" w:cs="Aptos"/>
          <w:b/>
          <w:bCs/>
        </w:rPr>
        <w:t>$123</w:t>
      </w:r>
      <w:r w:rsidR="00DD4869">
        <w:rPr>
          <w:rFonts w:eastAsia="Aptos" w:cs="Aptos"/>
          <w:b/>
          <w:bCs/>
        </w:rPr>
        <w:t xml:space="preserve"> million</w:t>
      </w:r>
      <w:r w:rsidRPr="776EC62F">
        <w:rPr>
          <w:rFonts w:eastAsia="Aptos" w:cs="Aptos"/>
          <w:b/>
          <w:bCs/>
        </w:rPr>
        <w:t xml:space="preserve"> in CFLRP Funding </w:t>
      </w:r>
      <w:r w:rsidRPr="776EC62F">
        <w:rPr>
          <w:rFonts w:eastAsia="Aptos" w:cs="Aptos"/>
        </w:rPr>
        <w:t>and</w:t>
      </w:r>
      <w:r w:rsidRPr="776EC62F">
        <w:rPr>
          <w:rFonts w:eastAsia="Aptos" w:cs="Aptos"/>
          <w:b/>
          <w:bCs/>
        </w:rPr>
        <w:t xml:space="preserve"> $204</w:t>
      </w:r>
      <w:r w:rsidR="00DD4869">
        <w:rPr>
          <w:rFonts w:eastAsia="Aptos" w:cs="Aptos"/>
          <w:b/>
          <w:bCs/>
        </w:rPr>
        <w:t xml:space="preserve"> million</w:t>
      </w:r>
      <w:r w:rsidRPr="776EC62F">
        <w:rPr>
          <w:rFonts w:eastAsia="Aptos" w:cs="Aptos"/>
          <w:b/>
          <w:bCs/>
        </w:rPr>
        <w:t xml:space="preserve"> in partner investments</w:t>
      </w:r>
      <w:r w:rsidRPr="776EC62F">
        <w:rPr>
          <w:rFonts w:eastAsia="Aptos" w:cs="Aptos"/>
        </w:rPr>
        <w:t xml:space="preserve"> </w:t>
      </w:r>
      <w:r>
        <w:t>- f</w:t>
      </w:r>
      <w:r w:rsidRPr="776EC62F">
        <w:rPr>
          <w:rFonts w:eastAsia="Aptos" w:cs="Aptos"/>
        </w:rPr>
        <w:t>or every $1 of CFLRP funding spent, partners contributed over $1.65</w:t>
      </w:r>
      <w:r w:rsidRPr="776EC62F">
        <w:rPr>
          <w:rStyle w:val="FootnoteReference"/>
        </w:rPr>
        <w:t xml:space="preserve">vi </w:t>
      </w:r>
    </w:p>
    <w:p w14:paraId="55094947" w14:textId="77777777" w:rsidR="00255427" w:rsidRDefault="00255427" w:rsidP="00044E9C">
      <w:pPr>
        <w:pStyle w:val="NoSpacing"/>
      </w:pPr>
    </w:p>
    <w:p w14:paraId="7B3A9494" w14:textId="673B5EA2" w:rsidR="00523E72" w:rsidRPr="00255427" w:rsidRDefault="3A11B581" w:rsidP="3A11B581">
      <w:pPr>
        <w:pStyle w:val="Heading4"/>
        <w:rPr>
          <w:rFonts w:eastAsia="Aptos"/>
          <w:b/>
          <w:bCs/>
          <w:i w:val="0"/>
          <w:iCs w:val="0"/>
        </w:rPr>
      </w:pPr>
      <w:r w:rsidRPr="3A11B581">
        <w:rPr>
          <w:rFonts w:eastAsia="Aptos"/>
          <w:b/>
          <w:bCs/>
          <w:i w:val="0"/>
          <w:iCs w:val="0"/>
        </w:rPr>
        <w:t xml:space="preserve">Region 6 CFLRP Project Highlights: </w:t>
      </w:r>
    </w:p>
    <w:p w14:paraId="4835097A" w14:textId="254DB6F3" w:rsidR="2C615F48" w:rsidRDefault="2C615F48" w:rsidP="2C615F48">
      <w:pPr>
        <w:pStyle w:val="NoSpacing"/>
        <w:rPr>
          <w:b/>
          <w:bCs/>
        </w:rPr>
      </w:pPr>
      <w:r w:rsidRPr="2C615F48">
        <w:rPr>
          <w:b/>
          <w:bCs/>
        </w:rPr>
        <w:t>North Central Washington - Active, funded 2022</w:t>
      </w:r>
    </w:p>
    <w:p w14:paraId="0B802041" w14:textId="398AB5AF" w:rsidR="2C615F48" w:rsidRDefault="2C615F48" w:rsidP="2C615F48">
      <w:pPr>
        <w:spacing w:line="257" w:lineRule="auto"/>
      </w:pPr>
      <w:r>
        <w:t xml:space="preserve">Treatments in the </w:t>
      </w:r>
      <w:r w:rsidRPr="00DD4869">
        <w:rPr>
          <w:b/>
          <w:bCs/>
        </w:rPr>
        <w:t>1.1-million-acre</w:t>
      </w:r>
      <w:r>
        <w:t xml:space="preserve"> North Central Washington project on </w:t>
      </w:r>
      <w:r w:rsidRPr="00DD4869">
        <w:rPr>
          <w:b/>
          <w:bCs/>
        </w:rPr>
        <w:t>the Okanogan-Wenatchee National Forest</w:t>
      </w:r>
      <w:r>
        <w:t xml:space="preserve"> and adjacent lands align with the Washington Department of Natural Resources 20-Year Forest Health Strategic Plan and are co-located within the Central Washington Initiative Wildfire Crisis Strategy Landscape. Treatments aim to increase ecological resilience, improve aquatic habitat for threatened and endangered fish, and reduce wildfire risk for some of the most vulnerable communities in the Pacific Northwest. Additional focus on strategic fuel breaks and maintenance activities like prescribed fire enable community safety through the application of multiple tools and tactics to manage the fires safely and appropriately. Other project work includes road decommissioning to decrease stream sedimentation, in-stream improvements, and invasive species treatments.</w:t>
      </w:r>
    </w:p>
    <w:p w14:paraId="518BC79E" w14:textId="6A275040" w:rsidR="2C615F48" w:rsidRDefault="57C000F1" w:rsidP="57C000F1">
      <w:pPr>
        <w:pStyle w:val="NoSpacing"/>
        <w:numPr>
          <w:ilvl w:val="0"/>
          <w:numId w:val="8"/>
        </w:numPr>
      </w:pPr>
      <w:r>
        <w:t xml:space="preserve">Total investment: $29.9 </w:t>
      </w:r>
      <w:r w:rsidR="00DD4869">
        <w:t>million</w:t>
      </w:r>
      <w:r>
        <w:t>, including $14.5</w:t>
      </w:r>
      <w:r w:rsidR="00DD4869">
        <w:t xml:space="preserve"> million</w:t>
      </w:r>
      <w:r>
        <w:t xml:space="preserve"> in partner investments  </w:t>
      </w:r>
    </w:p>
    <w:p w14:paraId="6D7E92CF" w14:textId="2F2FF341" w:rsidR="2C615F48" w:rsidRPr="00DD4869" w:rsidRDefault="2C615F48" w:rsidP="2C615F48">
      <w:pPr>
        <w:pStyle w:val="NoSpacing"/>
        <w:numPr>
          <w:ilvl w:val="0"/>
          <w:numId w:val="8"/>
        </w:numPr>
      </w:pPr>
      <w:r w:rsidRPr="00DD4869">
        <w:t xml:space="preserve">31,849 acres of hazardous fuels treated </w:t>
      </w:r>
    </w:p>
    <w:p w14:paraId="10D1BEEA" w14:textId="087D3D8F" w:rsidR="2C615F48" w:rsidRPr="00DD4869" w:rsidRDefault="3A11B581" w:rsidP="2C615F48">
      <w:pPr>
        <w:pStyle w:val="NoSpacing"/>
        <w:numPr>
          <w:ilvl w:val="0"/>
          <w:numId w:val="8"/>
        </w:numPr>
      </w:pPr>
      <w:r w:rsidRPr="00DD4869">
        <w:t>85,389 cubic feet of timber volume sold (45.4 MMBF)</w:t>
      </w:r>
    </w:p>
    <w:p w14:paraId="06F044BC" w14:textId="5572DE38" w:rsidR="2C615F48" w:rsidRDefault="57C000F1" w:rsidP="57C000F1">
      <w:pPr>
        <w:pStyle w:val="NoSpacing"/>
        <w:numPr>
          <w:ilvl w:val="0"/>
          <w:numId w:val="8"/>
        </w:numPr>
      </w:pPr>
      <w:r w:rsidRPr="00DD4869">
        <w:t>Estimated 80</w:t>
      </w:r>
      <w:r>
        <w:t xml:space="preserve"> jobs supported per year (avg) </w:t>
      </w:r>
    </w:p>
    <w:p w14:paraId="01FD4994" w14:textId="3D91B05E" w:rsidR="2C615F48" w:rsidRDefault="3A11B581" w:rsidP="3A11B581">
      <w:pPr>
        <w:pStyle w:val="NoSpacing"/>
        <w:numPr>
          <w:ilvl w:val="0"/>
          <w:numId w:val="8"/>
        </w:numPr>
      </w:pPr>
      <w:r>
        <w:t>27 miles of stream and 32,646 acres of terrestrial habitat restored</w:t>
      </w:r>
    </w:p>
    <w:p w14:paraId="5212B50C" w14:textId="77777777" w:rsidR="2C615F48" w:rsidRDefault="2C615F48" w:rsidP="2C615F48">
      <w:pPr>
        <w:pStyle w:val="NoSpacing"/>
      </w:pPr>
    </w:p>
    <w:p w14:paraId="510B81AA" w14:textId="79AE1333" w:rsidR="2C615F48" w:rsidRDefault="57C000F1" w:rsidP="2C615F48">
      <w:pPr>
        <w:spacing w:line="257" w:lineRule="auto"/>
        <w:rPr>
          <w:highlight w:val="yellow"/>
        </w:rPr>
      </w:pPr>
      <w:r w:rsidRPr="57C000F1">
        <w:rPr>
          <w:i/>
          <w:iCs/>
        </w:rPr>
        <w:t>Example highlight:</w:t>
      </w:r>
      <w:r w:rsidRPr="57C000F1">
        <w:rPr>
          <w:rFonts w:ascii="Calibri" w:eastAsia="Calibri" w:hAnsi="Calibri" w:cs="Calibri"/>
          <w:color w:val="002060"/>
        </w:rPr>
        <w:t xml:space="preserve"> </w:t>
      </w:r>
      <w:r w:rsidRPr="57C000F1">
        <w:rPr>
          <w:rFonts w:eastAsiaTheme="minorEastAsia"/>
        </w:rPr>
        <w:t>The North Central Washington CFLRP was designed to focus on high priority watersheds for forest health and wildfire resilience.  In FY24, much of the hazardous fuels reduction treatments were focused on protecting communities like Twisp and Carlton (through the Mission and Twisp projects) as well as the communities of Ardenvoir and Entiat (through the Crum, Moe, and Dinkelman projects). These treatment areas were prioritized to best leverage all the funding available to treat as many acres as possible across the entire landscape to meet multiple objectives, including wildfire risk reduction and forest restoration. The additional funding has substantially increased our treatment acres in FY24. Fuels, thinning, and invasive treatments all can have secondary benefits that improve or protect habitat for wildlife, through retaining native species and increasing the likelihood that these stands will survive future wildfires while also promoting growth of large trees.</w:t>
      </w:r>
    </w:p>
    <w:p w14:paraId="418B8179" w14:textId="147B8D53" w:rsidR="57C000F1" w:rsidRDefault="57C000F1" w:rsidP="57C000F1">
      <w:pPr>
        <w:pStyle w:val="NoSpacing"/>
        <w:rPr>
          <w:b/>
          <w:bCs/>
        </w:rPr>
      </w:pPr>
    </w:p>
    <w:p w14:paraId="08DE4DFD" w14:textId="5F9DE048" w:rsidR="2C615F48" w:rsidRDefault="2C615F48" w:rsidP="2C615F48">
      <w:pPr>
        <w:pStyle w:val="NoSpacing"/>
        <w:rPr>
          <w:b/>
          <w:bCs/>
        </w:rPr>
      </w:pPr>
      <w:r w:rsidRPr="2C615F48">
        <w:rPr>
          <w:b/>
          <w:bCs/>
        </w:rPr>
        <w:t>Rogue Basin Landscape Restoration Project - Active, funded 2022</w:t>
      </w:r>
    </w:p>
    <w:p w14:paraId="14CE77D8" w14:textId="73F0C0A9" w:rsidR="2C615F48" w:rsidRDefault="2C615F48" w:rsidP="2C615F48">
      <w:pPr>
        <w:spacing w:line="257" w:lineRule="auto"/>
      </w:pPr>
      <w:r>
        <w:t xml:space="preserve">Work within the </w:t>
      </w:r>
      <w:r w:rsidRPr="00DD4869">
        <w:rPr>
          <w:b/>
          <w:bCs/>
        </w:rPr>
        <w:t>4.6-million-acre</w:t>
      </w:r>
      <w:r>
        <w:t xml:space="preserve"> Rogue Basin landscape on the </w:t>
      </w:r>
      <w:r w:rsidRPr="00DD4869">
        <w:rPr>
          <w:b/>
          <w:bCs/>
        </w:rPr>
        <w:t xml:space="preserve">Rogue River-Siskiyou National Forest </w:t>
      </w:r>
      <w:r>
        <w:t xml:space="preserve">and adjacent lands in Oregon is accelerating urgently needed restoration treatments to </w:t>
      </w:r>
      <w:r>
        <w:lastRenderedPageBreak/>
        <w:t>meet the long-term and collaboratively developed goals identified in the 20-year Rogue Basin Cohesive Forest Restoration Strategy. Project activities prioritize wildfire risk reduction, landscape resiliency, improved wildlife habitat, increased watershed protection, and social and economic resilience. A commitment to adaptative management has positioned Rogue Basin partners to increase efficiencies and reduce fuel treatments costs over time.</w:t>
      </w:r>
    </w:p>
    <w:p w14:paraId="732988AE" w14:textId="5317C348" w:rsidR="2C615F48" w:rsidRDefault="57C000F1" w:rsidP="57C000F1">
      <w:pPr>
        <w:pStyle w:val="NoSpacing"/>
        <w:numPr>
          <w:ilvl w:val="0"/>
          <w:numId w:val="8"/>
        </w:numPr>
      </w:pPr>
      <w:r>
        <w:t xml:space="preserve">Total investment: $35.3 </w:t>
      </w:r>
      <w:r w:rsidR="00DD4869">
        <w:t>million</w:t>
      </w:r>
      <w:r>
        <w:t>, including $20.9</w:t>
      </w:r>
      <w:r w:rsidR="00DD4869">
        <w:t xml:space="preserve"> million</w:t>
      </w:r>
      <w:r>
        <w:t xml:space="preserve"> in partner investments  </w:t>
      </w:r>
    </w:p>
    <w:p w14:paraId="46446E57" w14:textId="01F3F2A5" w:rsidR="2C615F48" w:rsidRDefault="2C615F48" w:rsidP="2C615F48">
      <w:pPr>
        <w:pStyle w:val="NoSpacing"/>
        <w:numPr>
          <w:ilvl w:val="0"/>
          <w:numId w:val="8"/>
        </w:numPr>
      </w:pPr>
      <w:r>
        <w:t xml:space="preserve">22,627 acres of hazardous fuels treated </w:t>
      </w:r>
    </w:p>
    <w:p w14:paraId="2A75BD18" w14:textId="326A3DA1" w:rsidR="2C615F48" w:rsidRDefault="3A11B581" w:rsidP="2C615F48">
      <w:pPr>
        <w:pStyle w:val="NoSpacing"/>
        <w:numPr>
          <w:ilvl w:val="0"/>
          <w:numId w:val="8"/>
        </w:numPr>
      </w:pPr>
      <w:r>
        <w:t>56,925 cubic feet of timber volume sold (30.2 MMBF)</w:t>
      </w:r>
    </w:p>
    <w:p w14:paraId="76FD06D6" w14:textId="5519015B" w:rsidR="2C615F48" w:rsidRDefault="57C000F1" w:rsidP="57C000F1">
      <w:pPr>
        <w:pStyle w:val="NoSpacing"/>
        <w:numPr>
          <w:ilvl w:val="0"/>
          <w:numId w:val="8"/>
        </w:numPr>
      </w:pPr>
      <w:r>
        <w:t xml:space="preserve">Estimated 270 jobs supported per year (avg) </w:t>
      </w:r>
    </w:p>
    <w:p w14:paraId="24BE9C35" w14:textId="7195C2D7" w:rsidR="2C615F48" w:rsidRDefault="2E41E56C" w:rsidP="3A11B581">
      <w:pPr>
        <w:pStyle w:val="NoSpacing"/>
        <w:numPr>
          <w:ilvl w:val="0"/>
          <w:numId w:val="8"/>
        </w:numPr>
      </w:pPr>
      <w:r>
        <w:t>Enhanced over 30,000 of terrestrial habitat</w:t>
      </w:r>
    </w:p>
    <w:p w14:paraId="4BC85EE9" w14:textId="1B1054C9" w:rsidR="2C615F48" w:rsidRDefault="2E41E56C" w:rsidP="2C615F48">
      <w:pPr>
        <w:spacing w:before="240" w:after="240" w:line="276" w:lineRule="auto"/>
        <w:rPr>
          <w:i/>
          <w:iCs/>
        </w:rPr>
      </w:pPr>
      <w:r w:rsidRPr="2E41E56C">
        <w:rPr>
          <w:i/>
          <w:iCs/>
        </w:rPr>
        <w:t>Example highlight:</w:t>
      </w:r>
      <w:r w:rsidRPr="2E41E56C">
        <w:rPr>
          <w:rFonts w:ascii="Calibri" w:eastAsia="Calibri" w:hAnsi="Calibri" w:cs="Calibri"/>
        </w:rPr>
        <w:t xml:space="preserve"> </w:t>
      </w:r>
      <w:r w:rsidRPr="2E41E56C">
        <w:rPr>
          <w:rFonts w:eastAsiaTheme="minorEastAsia"/>
        </w:rPr>
        <w:t>Rogue Basin CFLRP hazardous fuels reduction accomplishments total 14,685 acres - 6,305 acres of pile burning and under burning and 8,380 acres of mechanical thinning activities. The FireBright program, an innovative Career and Technical Education (CTE) initiative, provided foundational certifications in wildland firefighting (S130 and S190) alongside hands-on training in wildfire response and natural resource management. Students participated in field exercises, such as prescribed burns and wildfire response simulations, developed in collaboration with partners including the Rogue Valley Prescribed Burn Association and OSU Extension. This program is equipping students with critical skills for workforce resilience and land stewardship.</w:t>
      </w:r>
    </w:p>
    <w:p w14:paraId="65995461" w14:textId="1C95032E" w:rsidR="00523E72" w:rsidRPr="00523E72" w:rsidRDefault="2C615F48" w:rsidP="00523E72">
      <w:pPr>
        <w:pStyle w:val="NoSpacing"/>
        <w:rPr>
          <w:b/>
          <w:bCs/>
        </w:rPr>
      </w:pPr>
      <w:r w:rsidRPr="2C615F48">
        <w:rPr>
          <w:b/>
          <w:bCs/>
        </w:rPr>
        <w:t>Lakeview Stewardship – Active, first funded 2012, extended 2022</w:t>
      </w:r>
    </w:p>
    <w:p w14:paraId="5B20B418" w14:textId="35DAE5AC" w:rsidR="00523E72" w:rsidRPr="00044E9C" w:rsidRDefault="2C615F48" w:rsidP="00523E72">
      <w:pPr>
        <w:pStyle w:val="NoSpacing"/>
      </w:pPr>
      <w:r>
        <w:t xml:space="preserve">The </w:t>
      </w:r>
      <w:r w:rsidRPr="00DD4869">
        <w:rPr>
          <w:b/>
          <w:bCs/>
        </w:rPr>
        <w:t>859,000-acre</w:t>
      </w:r>
      <w:r>
        <w:t xml:space="preserve"> Lakeview Stewardship project landscape on </w:t>
      </w:r>
      <w:r w:rsidRPr="00DD4869">
        <w:rPr>
          <w:b/>
          <w:bCs/>
        </w:rPr>
        <w:t>the Fremont-Winema National Forest</w:t>
      </w:r>
      <w:r>
        <w:t xml:space="preserve"> in Oregon is important to rural communities for recreation and forestry sector jobs, and it has been impacted by high severity wildfire and other disturbances, so restoring and maintaining a resilient forest is paramount. A proven record of completing all-lands restoration work with private landowners in this landscape is a key feature. Project goals include creating a healthy, resilient, and functional forest landscape maintained with fire, while mitigating threats of high severity wildfire to dry forests, habitat, water quality, and surrounding communities.</w:t>
      </w:r>
    </w:p>
    <w:p w14:paraId="455832F4" w14:textId="14C7663E" w:rsidR="2C615F48" w:rsidRDefault="2C615F48" w:rsidP="2C615F48">
      <w:pPr>
        <w:pStyle w:val="NoSpacing"/>
      </w:pPr>
    </w:p>
    <w:p w14:paraId="54CAEAC9" w14:textId="38A04F17" w:rsidR="00523E72" w:rsidRPr="00044E9C" w:rsidRDefault="57C000F1" w:rsidP="57C000F1">
      <w:pPr>
        <w:pStyle w:val="NoSpacing"/>
        <w:numPr>
          <w:ilvl w:val="0"/>
          <w:numId w:val="8"/>
        </w:numPr>
      </w:pPr>
      <w:r>
        <w:t xml:space="preserve">Total investment: $79.6 </w:t>
      </w:r>
      <w:r w:rsidR="00DD4869">
        <w:t>million</w:t>
      </w:r>
      <w:r>
        <w:t>, including $20</w:t>
      </w:r>
      <w:r w:rsidR="00DD4869">
        <w:t xml:space="preserve"> million</w:t>
      </w:r>
      <w:r>
        <w:t xml:space="preserve"> in partner investments</w:t>
      </w:r>
    </w:p>
    <w:p w14:paraId="49AB35E4" w14:textId="35283E76" w:rsidR="00523E72" w:rsidRPr="00044E9C" w:rsidRDefault="2C615F48" w:rsidP="2C615F48">
      <w:pPr>
        <w:pStyle w:val="NoSpacing"/>
        <w:numPr>
          <w:ilvl w:val="0"/>
          <w:numId w:val="8"/>
        </w:numPr>
      </w:pPr>
      <w:r>
        <w:t>289,590 acres of hazardous fuels treated</w:t>
      </w:r>
    </w:p>
    <w:p w14:paraId="2560BA1C" w14:textId="6A589F38" w:rsidR="00523E72" w:rsidRPr="00044E9C" w:rsidRDefault="2C615F48" w:rsidP="2C615F48">
      <w:pPr>
        <w:pStyle w:val="NoSpacing"/>
        <w:numPr>
          <w:ilvl w:val="0"/>
          <w:numId w:val="8"/>
        </w:numPr>
      </w:pPr>
      <w:r>
        <w:t>277,254 cubic feet of timber volume sold (approx. 138.6 MMBF)</w:t>
      </w:r>
    </w:p>
    <w:p w14:paraId="2C21176F" w14:textId="3C01FDDB" w:rsidR="00523E72" w:rsidRPr="00044E9C" w:rsidRDefault="776EC62F" w:rsidP="57C000F1">
      <w:pPr>
        <w:pStyle w:val="NoSpacing"/>
        <w:numPr>
          <w:ilvl w:val="0"/>
          <w:numId w:val="8"/>
        </w:numPr>
      </w:pPr>
      <w:r>
        <w:t xml:space="preserve">Estimated 90 jobs supported per year (avg) </w:t>
      </w:r>
    </w:p>
    <w:p w14:paraId="443D0B43" w14:textId="538501DF" w:rsidR="00523E72" w:rsidRPr="00044E9C" w:rsidRDefault="3A11B581" w:rsidP="3A11B581">
      <w:pPr>
        <w:pStyle w:val="NoSpacing"/>
        <w:numPr>
          <w:ilvl w:val="0"/>
          <w:numId w:val="8"/>
        </w:numPr>
      </w:pPr>
      <w:r>
        <w:t>175 miles of stream and over 131,500 acres of terrestrial habitat restored</w:t>
      </w:r>
    </w:p>
    <w:p w14:paraId="0F1F1ADA" w14:textId="77777777" w:rsidR="00523E72" w:rsidRDefault="00523E72" w:rsidP="00523E72">
      <w:pPr>
        <w:pStyle w:val="NoSpacing"/>
      </w:pPr>
    </w:p>
    <w:p w14:paraId="31148BBC" w14:textId="2A5585F5" w:rsidR="2C615F48" w:rsidRDefault="2C615F48" w:rsidP="2C615F48">
      <w:pPr>
        <w:pStyle w:val="NoSpacing"/>
        <w:rPr>
          <w:rFonts w:ascii="Aptos" w:eastAsia="Aptos" w:hAnsi="Aptos" w:cs="Aptos"/>
        </w:rPr>
      </w:pPr>
      <w:r w:rsidRPr="2C615F48">
        <w:rPr>
          <w:i/>
          <w:iCs/>
        </w:rPr>
        <w:t>Example highlight:</w:t>
      </w:r>
      <w:r>
        <w:t xml:space="preserve"> </w:t>
      </w:r>
      <w:r w:rsidRPr="2C615F48">
        <w:rPr>
          <w:rFonts w:eastAsiaTheme="minorEastAsia"/>
        </w:rPr>
        <w:t>The Lakeview Stewardship Landscape in Oregon found that prescribed fire treatments helped reduce the difficulty of suppression operations on the northern and eastern flanks of the 2023 Morgan fire. Fewer resources were needed to effectively control that portion of the fire, allowing managers to concentrate on areas with a higher suppression difficulty.</w:t>
      </w:r>
    </w:p>
    <w:p w14:paraId="14F57DA6" w14:textId="77777777" w:rsidR="00523E72" w:rsidRDefault="00523E72" w:rsidP="3C955D8B">
      <w:pPr>
        <w:pStyle w:val="NoSpacing"/>
      </w:pPr>
    </w:p>
    <w:p w14:paraId="0883228C" w14:textId="40B8190B" w:rsidR="00255427" w:rsidRPr="00255427" w:rsidRDefault="6CB77AA6" w:rsidP="00255427">
      <w:pPr>
        <w:pStyle w:val="NoSpacing"/>
        <w:rPr>
          <w:b/>
          <w:bCs/>
        </w:rPr>
      </w:pPr>
      <w:r w:rsidRPr="6CB77AA6">
        <w:rPr>
          <w:b/>
          <w:bCs/>
        </w:rPr>
        <w:t xml:space="preserve">Southern Blues Restoration Coalition - Active, first funded 2012, extended 2022 </w:t>
      </w:r>
    </w:p>
    <w:p w14:paraId="6CBA45B8" w14:textId="65EAEE67" w:rsidR="6CB77AA6" w:rsidRPr="00DD4869" w:rsidRDefault="2C615F48" w:rsidP="2C615F48">
      <w:pPr>
        <w:pStyle w:val="NoSpacing"/>
      </w:pPr>
      <w:r>
        <w:t xml:space="preserve">The </w:t>
      </w:r>
      <w:r w:rsidRPr="00DD4869">
        <w:rPr>
          <w:b/>
          <w:bCs/>
        </w:rPr>
        <w:t>1-million-acre</w:t>
      </w:r>
      <w:r>
        <w:t xml:space="preserve"> Southern Blues landscape stretches across the </w:t>
      </w:r>
      <w:r w:rsidRPr="00DD4869">
        <w:rPr>
          <w:b/>
          <w:bCs/>
        </w:rPr>
        <w:t>Malheur National Forest</w:t>
      </w:r>
      <w:r>
        <w:t xml:space="preserve"> and adjacent land ownerships in Oregon. The cumulative effects of past management, ingrowth, fuel buildup, uncharacteristic wildfire, and climate dynamics threaten to destroy key habitat, old growth, important aquatic resources, and private property. Key drivers of work in this landscape are restoring historical fire regimes, structure, species composition, and stand densities. The overarching goal is restoration at a scale that will help native fish and wildlife thrive, create resilient </w:t>
      </w:r>
      <w:r w:rsidRPr="00DD4869">
        <w:t>forests, and support the health, safety, and prosperity of local communities.</w:t>
      </w:r>
    </w:p>
    <w:p w14:paraId="47D3479A" w14:textId="77777777" w:rsidR="00255427" w:rsidRPr="00DD4869" w:rsidRDefault="00255427" w:rsidP="00255427">
      <w:pPr>
        <w:pStyle w:val="NoSpacing"/>
      </w:pPr>
    </w:p>
    <w:p w14:paraId="331C71CB" w14:textId="3D1579F1" w:rsidR="00EF31E5" w:rsidRPr="00DD4869" w:rsidRDefault="57C000F1" w:rsidP="6CB77AA6">
      <w:pPr>
        <w:pStyle w:val="NoSpacing"/>
        <w:numPr>
          <w:ilvl w:val="0"/>
          <w:numId w:val="27"/>
        </w:numPr>
      </w:pPr>
      <w:r w:rsidRPr="00DD4869">
        <w:t xml:space="preserve">Total investment: $109.1 </w:t>
      </w:r>
      <w:r w:rsidR="00DD4869">
        <w:t>million</w:t>
      </w:r>
      <w:r w:rsidRPr="00DD4869">
        <w:t xml:space="preserve">, including $39.4 </w:t>
      </w:r>
      <w:r w:rsidR="00DD4869">
        <w:t>million</w:t>
      </w:r>
      <w:r w:rsidRPr="00DD4869">
        <w:t xml:space="preserve"> in partner investments  </w:t>
      </w:r>
    </w:p>
    <w:p w14:paraId="0AABF905" w14:textId="25B9D6F9" w:rsidR="00255427" w:rsidRPr="00DD4869" w:rsidRDefault="2C615F48" w:rsidP="2C615F48">
      <w:pPr>
        <w:pStyle w:val="NoSpacing"/>
        <w:numPr>
          <w:ilvl w:val="0"/>
          <w:numId w:val="27"/>
        </w:numPr>
      </w:pPr>
      <w:r w:rsidRPr="00DD4869">
        <w:t xml:space="preserve">382,247 acres of hazardous fuels treated </w:t>
      </w:r>
    </w:p>
    <w:p w14:paraId="24F2D439" w14:textId="474989EA" w:rsidR="00255427" w:rsidRDefault="2C615F48" w:rsidP="2C615F48">
      <w:pPr>
        <w:pStyle w:val="NoSpacing"/>
        <w:numPr>
          <w:ilvl w:val="0"/>
          <w:numId w:val="27"/>
        </w:numPr>
      </w:pPr>
      <w:r w:rsidRPr="00DD4869">
        <w:t>1,031,726</w:t>
      </w:r>
      <w:r>
        <w:t xml:space="preserve"> cubic feet of timber volume sold (approx. 515.8 MMBF)</w:t>
      </w:r>
    </w:p>
    <w:p w14:paraId="1BB641A2" w14:textId="65007943" w:rsidR="00255427" w:rsidRDefault="57C000F1" w:rsidP="57C000F1">
      <w:pPr>
        <w:pStyle w:val="NoSpacing"/>
        <w:numPr>
          <w:ilvl w:val="0"/>
          <w:numId w:val="27"/>
        </w:numPr>
      </w:pPr>
      <w:r>
        <w:t xml:space="preserve">Over 25 jobs supported per year (avg) </w:t>
      </w:r>
    </w:p>
    <w:p w14:paraId="185FBA0F" w14:textId="06D13182" w:rsidR="00255427" w:rsidRDefault="3A11B581" w:rsidP="3A11B581">
      <w:pPr>
        <w:pStyle w:val="NoSpacing"/>
        <w:numPr>
          <w:ilvl w:val="0"/>
          <w:numId w:val="27"/>
        </w:numPr>
      </w:pPr>
      <w:r>
        <w:t>Over 280 miles of stream and 190,000 acres of terrestrial habitat enhanced</w:t>
      </w:r>
    </w:p>
    <w:p w14:paraId="271558C9" w14:textId="77777777" w:rsidR="00255427" w:rsidRDefault="00255427" w:rsidP="00255427">
      <w:pPr>
        <w:pStyle w:val="NoSpacing"/>
      </w:pPr>
    </w:p>
    <w:p w14:paraId="546D9207" w14:textId="3030B4F5" w:rsidR="2C615F48" w:rsidRDefault="2C615F48" w:rsidP="2C615F48">
      <w:pPr>
        <w:pStyle w:val="NoSpacing"/>
        <w:rPr>
          <w:highlight w:val="yellow"/>
        </w:rPr>
      </w:pPr>
      <w:r w:rsidRPr="2C615F48">
        <w:rPr>
          <w:i/>
          <w:iCs/>
        </w:rPr>
        <w:t>Example highlight:</w:t>
      </w:r>
      <w:r>
        <w:t xml:space="preserve"> The Southern Blues Restoration Coalition in Oregon has led local wood processing companies to invest heavily in upgrades and new infrastructure to utilize small diameter wood, supporting new jobs in the community. These companies have leveraged CFLRP funds a</w:t>
      </w:r>
      <w:r w:rsidRPr="2C615F48">
        <w:rPr>
          <w:rFonts w:eastAsiaTheme="minorEastAsia"/>
        </w:rPr>
        <w:t xml:space="preserve">nd Forest Service contracting approaches that focus on local benefits to help secure investments.  Emphasis is placed on benefit to local communities with the expectation that the primary contractors hire employees locally when their projects are funded with CFLRP.  </w:t>
      </w:r>
    </w:p>
    <w:p w14:paraId="249E2BAA" w14:textId="0EA581BC" w:rsidR="6CB77AA6" w:rsidRDefault="6CB77AA6" w:rsidP="6CB77AA6">
      <w:pPr>
        <w:pStyle w:val="NoSpacing"/>
      </w:pPr>
    </w:p>
    <w:p w14:paraId="7FA871B0" w14:textId="52A34852" w:rsidR="009A0680" w:rsidRPr="009A6C54" w:rsidRDefault="2C615F48" w:rsidP="6CB77AA6">
      <w:pPr>
        <w:pStyle w:val="NoSpacing"/>
        <w:spacing w:line="257" w:lineRule="auto"/>
        <w:rPr>
          <w:b/>
          <w:bCs/>
        </w:rPr>
      </w:pPr>
      <w:r w:rsidRPr="2C615F48">
        <w:rPr>
          <w:b/>
          <w:bCs/>
        </w:rPr>
        <w:t>Northeast Washington Forest Vision 2020 - Active, first funded 2012, extended 2022</w:t>
      </w:r>
    </w:p>
    <w:p w14:paraId="5A0ECEE7" w14:textId="51310A9A" w:rsidR="2C615F48" w:rsidRPr="00DD4869" w:rsidRDefault="2C615F48" w:rsidP="2C615F48">
      <w:pPr>
        <w:spacing w:line="257" w:lineRule="auto"/>
      </w:pPr>
      <w:r>
        <w:t xml:space="preserve">The </w:t>
      </w:r>
      <w:r w:rsidRPr="00DD4869">
        <w:rPr>
          <w:b/>
          <w:bCs/>
        </w:rPr>
        <w:t>916,000-acre</w:t>
      </w:r>
      <w:r>
        <w:t xml:space="preserve"> Northeast Washington Forest Vision 2020 landscape on the </w:t>
      </w:r>
      <w:r w:rsidRPr="00DD4869">
        <w:rPr>
          <w:b/>
          <w:bCs/>
        </w:rPr>
        <w:t>Colville National Forest</w:t>
      </w:r>
      <w:r>
        <w:t xml:space="preserve"> in Washington includes high priority areas under the state forest health plan, shares a border with the Confederated Tribes of the Colville, includes Wildland Urban Interface and critical infrastructure values, and hosts important wilderness and recreation assets. The project is working to restore forested landscapes and watersheds to prepare for management of future wildfires and anticipated landscape disturbance. Overarching goals include restoring forests and habitats, reducing hazardous fuels, utilization of woody biomass and small-diameter trees, and reducing the </w:t>
      </w:r>
      <w:r w:rsidRPr="00DD4869">
        <w:t>costs of forest treatments and wildfire management activities.</w:t>
      </w:r>
    </w:p>
    <w:p w14:paraId="4BF5015B" w14:textId="4D0AB8C9" w:rsidR="009A0680" w:rsidRPr="00DD4869" w:rsidRDefault="57C000F1" w:rsidP="6CB77AA6">
      <w:pPr>
        <w:pStyle w:val="NoSpacing"/>
        <w:numPr>
          <w:ilvl w:val="0"/>
          <w:numId w:val="8"/>
        </w:numPr>
        <w:spacing w:line="257" w:lineRule="auto"/>
      </w:pPr>
      <w:r w:rsidRPr="00DD4869">
        <w:t xml:space="preserve">Total investment: $83.3 </w:t>
      </w:r>
      <w:r w:rsidR="00DD4869">
        <w:t>million</w:t>
      </w:r>
      <w:r w:rsidRPr="00DD4869">
        <w:t xml:space="preserve">, including $24.4 </w:t>
      </w:r>
      <w:r w:rsidR="00DD4869">
        <w:t>million</w:t>
      </w:r>
      <w:r w:rsidRPr="00DD4869">
        <w:t xml:space="preserve"> in partner investments  </w:t>
      </w:r>
    </w:p>
    <w:p w14:paraId="1A7E17B5" w14:textId="5DCFAA00" w:rsidR="009A0680" w:rsidRPr="00DD4869" w:rsidRDefault="2C615F48" w:rsidP="2C615F48">
      <w:pPr>
        <w:pStyle w:val="NoSpacing"/>
        <w:numPr>
          <w:ilvl w:val="0"/>
          <w:numId w:val="8"/>
        </w:numPr>
        <w:spacing w:line="257" w:lineRule="auto"/>
      </w:pPr>
      <w:r w:rsidRPr="00DD4869">
        <w:t xml:space="preserve">146,730 acres of hazardous fuels treated </w:t>
      </w:r>
    </w:p>
    <w:p w14:paraId="1AC83D9F" w14:textId="67BB6FF3" w:rsidR="009A0680" w:rsidRPr="009A6C54" w:rsidRDefault="2C615F48" w:rsidP="2C615F48">
      <w:pPr>
        <w:pStyle w:val="NoSpacing"/>
        <w:numPr>
          <w:ilvl w:val="0"/>
          <w:numId w:val="8"/>
        </w:numPr>
        <w:spacing w:line="257" w:lineRule="auto"/>
      </w:pPr>
      <w:r w:rsidRPr="00DD4869">
        <w:t>518996 cubic</w:t>
      </w:r>
      <w:r>
        <w:t xml:space="preserve"> feet of timber volume sold (approx. 259.5 MMBF)</w:t>
      </w:r>
    </w:p>
    <w:p w14:paraId="3EDE9F3F" w14:textId="68A426C9" w:rsidR="009A0680" w:rsidRPr="009A6C54" w:rsidRDefault="57C000F1" w:rsidP="57C000F1">
      <w:pPr>
        <w:pStyle w:val="NoSpacing"/>
        <w:numPr>
          <w:ilvl w:val="0"/>
          <w:numId w:val="8"/>
        </w:numPr>
        <w:spacing w:line="257" w:lineRule="auto"/>
      </w:pPr>
      <w:r>
        <w:t xml:space="preserve">Estimated 345 jobs supported per year (avg) </w:t>
      </w:r>
    </w:p>
    <w:p w14:paraId="219CF43E" w14:textId="7CC34C3E" w:rsidR="009A0680" w:rsidRPr="009A6C54" w:rsidRDefault="3A11B581" w:rsidP="3A11B581">
      <w:pPr>
        <w:pStyle w:val="NoSpacing"/>
        <w:numPr>
          <w:ilvl w:val="0"/>
          <w:numId w:val="8"/>
        </w:numPr>
        <w:spacing w:line="257" w:lineRule="auto"/>
      </w:pPr>
      <w:r>
        <w:t>Over 80 miles of stream restored</w:t>
      </w:r>
    </w:p>
    <w:p w14:paraId="58C75C9D" w14:textId="77777777" w:rsidR="009A0680" w:rsidRPr="009A6C54" w:rsidRDefault="009A0680" w:rsidP="6CB77AA6">
      <w:pPr>
        <w:pStyle w:val="NoSpacing"/>
        <w:spacing w:line="257" w:lineRule="auto"/>
      </w:pPr>
    </w:p>
    <w:p w14:paraId="00D894A9" w14:textId="7D990B38" w:rsidR="2C615F48" w:rsidRDefault="2C615F48" w:rsidP="2C615F48">
      <w:pPr>
        <w:rPr>
          <w:rFonts w:ascii="Aptos" w:eastAsia="Aptos" w:hAnsi="Aptos" w:cs="Aptos"/>
        </w:rPr>
      </w:pPr>
      <w:r w:rsidRPr="2C615F48">
        <w:rPr>
          <w:i/>
          <w:iCs/>
        </w:rPr>
        <w:t xml:space="preserve">Example highlight: </w:t>
      </w:r>
      <w:r w:rsidRPr="2C615F48">
        <w:rPr>
          <w:rFonts w:eastAsiaTheme="minorEastAsia"/>
        </w:rPr>
        <w:t>The CFLRP project has increased the pace and scale of treatments within the Vision 2020 landscape by using Good Neighbor Authority. Active work within five sale areas is restoring lands within our Scatter, Trout, Bulldog, Wedge, and Kettle Face project areas and has generated millions in stewardship receipts that are being leveraged to restore additional acres within the Vision 2020 area.</w:t>
      </w:r>
    </w:p>
    <w:p w14:paraId="780C7DE9" w14:textId="0E67C2D0" w:rsidR="2C615F48" w:rsidRDefault="2C615F48" w:rsidP="2C615F48">
      <w:pPr>
        <w:pStyle w:val="NoSpacing"/>
        <w:spacing w:line="257" w:lineRule="auto"/>
        <w:rPr>
          <w:b/>
          <w:bCs/>
        </w:rPr>
      </w:pPr>
      <w:r w:rsidRPr="2C615F48">
        <w:rPr>
          <w:b/>
          <w:bCs/>
        </w:rPr>
        <w:t>Northern Blues - Active, funded 2021</w:t>
      </w:r>
    </w:p>
    <w:p w14:paraId="33791E05" w14:textId="5EE7ED6C" w:rsidR="2C615F48" w:rsidRDefault="2C615F48" w:rsidP="2C615F48">
      <w:pPr>
        <w:spacing w:line="257" w:lineRule="auto"/>
      </w:pPr>
      <w:r>
        <w:t xml:space="preserve">The Northern Blues project spans more than </w:t>
      </w:r>
      <w:r w:rsidRPr="00DD4869">
        <w:rPr>
          <w:b/>
          <w:bCs/>
        </w:rPr>
        <w:t>10 million acres</w:t>
      </w:r>
      <w:r>
        <w:t xml:space="preserve"> across 13 counties in northeast Oregon and southeast Washington including land managed by </w:t>
      </w:r>
      <w:r w:rsidRPr="00DD4869">
        <w:rPr>
          <w:b/>
          <w:bCs/>
        </w:rPr>
        <w:t>the Umatilla and Wallowa-Whitman National Forests</w:t>
      </w:r>
      <w:r>
        <w:t>. Its primary goal is to restore forests and promote beneficial fire while also delivering substantial community benefits, such as local employment, youth engagement, adaptive monitoring, and research. Local partners, through the Northern Blues Restoration Partnership memorandum of understanding, have a long history of successful cross-boundary collaboration. The Partnership fosters connection across public, private, and tribal lands, supporting efforts in community wildfire protection, watershed restoration, funding assistance, maintaining wildlife corridors and culturally significant values, and engaging the public and landowners.</w:t>
      </w:r>
    </w:p>
    <w:p w14:paraId="1689BB67" w14:textId="4C8C3C15" w:rsidR="2C615F48" w:rsidRDefault="57C000F1" w:rsidP="57C000F1">
      <w:pPr>
        <w:pStyle w:val="NoSpacing"/>
        <w:numPr>
          <w:ilvl w:val="0"/>
          <w:numId w:val="8"/>
        </w:numPr>
        <w:spacing w:line="257" w:lineRule="auto"/>
      </w:pPr>
      <w:r>
        <w:t xml:space="preserve">Total investment: $78.9 </w:t>
      </w:r>
      <w:r w:rsidR="00DD4869">
        <w:t>million</w:t>
      </w:r>
      <w:r>
        <w:t xml:space="preserve">, including $48.9 </w:t>
      </w:r>
      <w:r w:rsidR="00DD4869">
        <w:t>million</w:t>
      </w:r>
      <w:r>
        <w:t xml:space="preserve"> in partner investments  </w:t>
      </w:r>
    </w:p>
    <w:p w14:paraId="51EA9CAB" w14:textId="3E1E3421" w:rsidR="2C615F48" w:rsidRDefault="2C615F48" w:rsidP="2C615F48">
      <w:pPr>
        <w:pStyle w:val="NoSpacing"/>
        <w:numPr>
          <w:ilvl w:val="0"/>
          <w:numId w:val="8"/>
        </w:numPr>
        <w:spacing w:line="257" w:lineRule="auto"/>
      </w:pPr>
      <w:r>
        <w:t xml:space="preserve">159,231 acres of hazardous fuels treated </w:t>
      </w:r>
    </w:p>
    <w:p w14:paraId="0C125486" w14:textId="71123E45" w:rsidR="2C615F48" w:rsidRDefault="3A11B581" w:rsidP="2C615F48">
      <w:pPr>
        <w:pStyle w:val="NoSpacing"/>
        <w:numPr>
          <w:ilvl w:val="0"/>
          <w:numId w:val="8"/>
        </w:numPr>
        <w:spacing w:line="257" w:lineRule="auto"/>
      </w:pPr>
      <w:r>
        <w:t>286,558 cubic feet of timber volume sold (147.1 MMBF)</w:t>
      </w:r>
    </w:p>
    <w:p w14:paraId="49DBA73D" w14:textId="31CF0826" w:rsidR="2C615F48" w:rsidRDefault="57C000F1" w:rsidP="57C000F1">
      <w:pPr>
        <w:pStyle w:val="NoSpacing"/>
        <w:numPr>
          <w:ilvl w:val="0"/>
          <w:numId w:val="8"/>
        </w:numPr>
        <w:spacing w:line="257" w:lineRule="auto"/>
      </w:pPr>
      <w:r>
        <w:t xml:space="preserve">Over 870 jobs supported per year (avg) </w:t>
      </w:r>
    </w:p>
    <w:p w14:paraId="1592D4BD" w14:textId="6F028FFE" w:rsidR="2C615F48" w:rsidRDefault="3A11B581" w:rsidP="3A11B581">
      <w:pPr>
        <w:pStyle w:val="NoSpacing"/>
        <w:numPr>
          <w:ilvl w:val="0"/>
          <w:numId w:val="8"/>
        </w:numPr>
        <w:spacing w:line="257" w:lineRule="auto"/>
      </w:pPr>
      <w:r>
        <w:t>73 miles of stream and over 100,000 acres of terrestrial habitat enhanced</w:t>
      </w:r>
    </w:p>
    <w:p w14:paraId="72A79C97" w14:textId="77777777" w:rsidR="2C615F48" w:rsidRDefault="2C615F48" w:rsidP="2C615F48">
      <w:pPr>
        <w:pStyle w:val="NoSpacing"/>
        <w:spacing w:line="257" w:lineRule="auto"/>
      </w:pPr>
    </w:p>
    <w:p w14:paraId="4F6F5028" w14:textId="7B5F83CC" w:rsidR="2C615F48" w:rsidRDefault="2C615F48" w:rsidP="2C615F48">
      <w:pPr>
        <w:spacing w:line="257" w:lineRule="auto"/>
      </w:pPr>
      <w:r w:rsidRPr="2C615F48">
        <w:rPr>
          <w:i/>
          <w:iCs/>
        </w:rPr>
        <w:t>Example highlight:</w:t>
      </w:r>
      <w:r w:rsidRPr="2C615F48">
        <w:rPr>
          <w:rFonts w:eastAsiaTheme="minorEastAsia"/>
        </w:rPr>
        <w:t xml:space="preserve"> Restoration efforts help preserve existing forest industry and contractor jobs while creating new opportunities in treatment contracting, monitoring, research, and supporting services. Reducing fire risks to property and lives is another key outcome, particularly in the Project Area, where private property and structures closely border the National Forests. Four years into the project, </w:t>
      </w:r>
      <w:r w:rsidR="00DD4869">
        <w:rPr>
          <w:rFonts w:eastAsiaTheme="minorEastAsia"/>
        </w:rPr>
        <w:t>partners</w:t>
      </w:r>
      <w:r w:rsidRPr="2C615F48">
        <w:rPr>
          <w:rFonts w:eastAsiaTheme="minorEastAsia"/>
        </w:rPr>
        <w:t xml:space="preserve"> have successfully retained $60,548,970 in restoration funding for contractors working in the Northern Blues.</w:t>
      </w:r>
    </w:p>
    <w:p w14:paraId="4CF1746D" w14:textId="73AAE59D" w:rsidR="009A0680" w:rsidRPr="009A6C54" w:rsidRDefault="2C615F48" w:rsidP="6CB77AA6">
      <w:pPr>
        <w:pStyle w:val="NoSpacing"/>
        <w:spacing w:line="257" w:lineRule="auto"/>
        <w:rPr>
          <w:b/>
          <w:bCs/>
        </w:rPr>
      </w:pPr>
      <w:r w:rsidRPr="2C615F48">
        <w:rPr>
          <w:b/>
          <w:bCs/>
        </w:rPr>
        <w:t>Deschutes Collaborative Forest Project - Active, first funded 2010, extended 2021</w:t>
      </w:r>
    </w:p>
    <w:p w14:paraId="2057DF93" w14:textId="2B5A2CD4" w:rsidR="2C615F48" w:rsidRDefault="2C615F48" w:rsidP="2C615F48">
      <w:pPr>
        <w:spacing w:line="257" w:lineRule="auto"/>
      </w:pPr>
      <w:r>
        <w:t xml:space="preserve">The Deschutes Forest Collaborative Project in central Oregon spans </w:t>
      </w:r>
      <w:r w:rsidRPr="00A05940">
        <w:rPr>
          <w:b/>
          <w:bCs/>
        </w:rPr>
        <w:t>257,000 acres</w:t>
      </w:r>
      <w:r>
        <w:t xml:space="preserve"> of forest that historically experienced frequent, low to moderate-intensity fires. In recent decades, large, high-severity fires across the landscape demonstrate the need for forest restoration to protect two municipal drinking sources, four adjacent communities, and dozens of high-use recreation areas. Restoration treatments on the </w:t>
      </w:r>
      <w:r w:rsidRPr="00A05940">
        <w:rPr>
          <w:b/>
          <w:bCs/>
        </w:rPr>
        <w:t>Deschutes National Forest</w:t>
      </w:r>
      <w:r>
        <w:t xml:space="preserve"> and adjacent jurisdictions focus on reducing high-severity wildfire in the Wildland Urban Interface, protecting watersheds, preserving recreation areas, enhancing wildlife habitat, conserving access to first foods, and providing jobs and wood products.</w:t>
      </w:r>
    </w:p>
    <w:p w14:paraId="5F52E1CA" w14:textId="15E69B2F" w:rsidR="009A0680" w:rsidRPr="009A6C54" w:rsidRDefault="57C000F1" w:rsidP="57C000F1">
      <w:pPr>
        <w:pStyle w:val="NoSpacing"/>
        <w:numPr>
          <w:ilvl w:val="0"/>
          <w:numId w:val="8"/>
        </w:numPr>
        <w:spacing w:line="257" w:lineRule="auto"/>
      </w:pPr>
      <w:r>
        <w:t xml:space="preserve">Total investment: $44.5 </w:t>
      </w:r>
      <w:r w:rsidR="00A05940">
        <w:t>million</w:t>
      </w:r>
      <w:r>
        <w:t xml:space="preserve">, including $14 </w:t>
      </w:r>
      <w:r w:rsidR="00A05940">
        <w:t>million</w:t>
      </w:r>
      <w:r>
        <w:t xml:space="preserve"> in partner investments  </w:t>
      </w:r>
    </w:p>
    <w:p w14:paraId="02DD3389" w14:textId="1393D7F5" w:rsidR="009A0680" w:rsidRPr="009A6C54" w:rsidRDefault="2C615F48" w:rsidP="2C615F48">
      <w:pPr>
        <w:pStyle w:val="NoSpacing"/>
        <w:numPr>
          <w:ilvl w:val="0"/>
          <w:numId w:val="8"/>
        </w:numPr>
        <w:spacing w:line="257" w:lineRule="auto"/>
      </w:pPr>
      <w:r>
        <w:t xml:space="preserve">162,253 acres of hazardous fuels treated </w:t>
      </w:r>
    </w:p>
    <w:p w14:paraId="37571BA3" w14:textId="130DF847" w:rsidR="009A0680" w:rsidRPr="009A6C54" w:rsidRDefault="2C615F48" w:rsidP="2C615F48">
      <w:pPr>
        <w:pStyle w:val="NoSpacing"/>
        <w:numPr>
          <w:ilvl w:val="0"/>
          <w:numId w:val="8"/>
        </w:numPr>
        <w:spacing w:line="257" w:lineRule="auto"/>
      </w:pPr>
      <w:r>
        <w:t>349,840 cubic feet of timber volume sold (approx. 174.9 MMBF)</w:t>
      </w:r>
    </w:p>
    <w:p w14:paraId="53C05CA5" w14:textId="72347A27" w:rsidR="009A0680" w:rsidRPr="009A6C54" w:rsidRDefault="455962B7" w:rsidP="57C000F1">
      <w:pPr>
        <w:pStyle w:val="NoSpacing"/>
        <w:numPr>
          <w:ilvl w:val="0"/>
          <w:numId w:val="8"/>
        </w:numPr>
        <w:spacing w:line="257" w:lineRule="auto"/>
      </w:pPr>
      <w:r>
        <w:t xml:space="preserve">Over 200 jobs supported per year (avg) </w:t>
      </w:r>
    </w:p>
    <w:p w14:paraId="70BC126B" w14:textId="0550EDE7" w:rsidR="009A0680" w:rsidRPr="009A6C54" w:rsidRDefault="3A11B581" w:rsidP="3A11B581">
      <w:pPr>
        <w:pStyle w:val="NoSpacing"/>
        <w:numPr>
          <w:ilvl w:val="0"/>
          <w:numId w:val="8"/>
        </w:numPr>
        <w:spacing w:line="257" w:lineRule="auto"/>
      </w:pPr>
      <w:r>
        <w:t>Nearly 80 miles of stream restored and over 30,000 acres of terrestrial habitat enhanced</w:t>
      </w:r>
    </w:p>
    <w:p w14:paraId="02459B5D" w14:textId="55A75E25" w:rsidR="3A11B581" w:rsidRDefault="3A11B581" w:rsidP="3A11B581">
      <w:pPr>
        <w:pStyle w:val="NoSpacing"/>
        <w:spacing w:line="257" w:lineRule="auto"/>
        <w:ind w:left="720"/>
        <w:rPr>
          <w:highlight w:val="yellow"/>
        </w:rPr>
      </w:pPr>
    </w:p>
    <w:p w14:paraId="0BBA25AE" w14:textId="6EB57D60" w:rsidR="009A0680" w:rsidRPr="009A6C54" w:rsidRDefault="2C615F48" w:rsidP="2C615F48">
      <w:pPr>
        <w:spacing w:line="257" w:lineRule="auto"/>
        <w:rPr>
          <w:i/>
          <w:iCs/>
        </w:rPr>
      </w:pPr>
      <w:r w:rsidRPr="2C615F48">
        <w:rPr>
          <w:i/>
          <w:iCs/>
        </w:rPr>
        <w:t>Example highlight:</w:t>
      </w:r>
      <w:r w:rsidRPr="2C615F48">
        <w:rPr>
          <w:rFonts w:ascii="Calibri" w:eastAsia="Calibri" w:hAnsi="Calibri" w:cs="Calibri"/>
          <w:color w:val="7030A0"/>
        </w:rPr>
        <w:t xml:space="preserve"> </w:t>
      </w:r>
      <w:r w:rsidRPr="2C615F48">
        <w:rPr>
          <w:rFonts w:eastAsiaTheme="minorEastAsia"/>
        </w:rPr>
        <w:t xml:space="preserve">There are 23 wildfires in the Fuels Treatment Effectiveness Monitoring database that indicate interactions with previous fuel treatment activity in the CFLR landscape. All of these wildfires were determined to exhibit reduced fire behavior due to the previous fuel treatments, inevitably leading to successful initial attack suppression and control of the unplanned wildfire. The strategic approach to hazardous fuel treatment within the CFLR landscape has been to focus activities in close proximity to neighborhoods and communities. This approach has resulted in a more historic fuel composition surrounding the urban areas of Bend and Sisters as well as the outlying subdivisions. The resulting fire behavior observed in these treatment areas prior to suppression actions is commonly low intensity ground fire. </w:t>
      </w:r>
      <w:r w:rsidRPr="2C615F48">
        <w:rPr>
          <w:rFonts w:ascii="Calibri" w:eastAsia="Calibri" w:hAnsi="Calibri" w:cs="Calibri"/>
        </w:rPr>
        <w:t xml:space="preserve"> </w:t>
      </w:r>
      <w:r w:rsidRPr="2C615F48">
        <w:rPr>
          <w:rFonts w:ascii="Calibri" w:eastAsia="Calibri" w:hAnsi="Calibri" w:cs="Calibri"/>
          <w:color w:val="7030A0"/>
        </w:rPr>
        <w:t xml:space="preserve"> </w:t>
      </w:r>
      <w:r w:rsidRPr="2C615F48">
        <w:rPr>
          <w:rFonts w:ascii="Aptos" w:eastAsia="Aptos" w:hAnsi="Aptos" w:cs="Aptos"/>
        </w:rPr>
        <w:t xml:space="preserve"> </w:t>
      </w:r>
    </w:p>
    <w:p w14:paraId="1BE41A19" w14:textId="6B6C71F0" w:rsidR="2C615F48" w:rsidRDefault="2C615F48" w:rsidP="2C615F48">
      <w:pPr>
        <w:pStyle w:val="NoSpacing"/>
        <w:spacing w:line="257" w:lineRule="auto"/>
        <w:rPr>
          <w:b/>
          <w:bCs/>
        </w:rPr>
      </w:pPr>
    </w:p>
    <w:p w14:paraId="7FB90296" w14:textId="2B537BA0" w:rsidR="009A0680" w:rsidRPr="009A6C54" w:rsidRDefault="2C615F48" w:rsidP="6CB77AA6">
      <w:pPr>
        <w:pStyle w:val="NoSpacing"/>
        <w:spacing w:line="257" w:lineRule="auto"/>
        <w:rPr>
          <w:b/>
          <w:bCs/>
        </w:rPr>
      </w:pPr>
      <w:r w:rsidRPr="2C615F48">
        <w:rPr>
          <w:b/>
          <w:bCs/>
        </w:rPr>
        <w:t>Tapash - Alumni, funded 2010-2019</w:t>
      </w:r>
    </w:p>
    <w:p w14:paraId="46143248" w14:textId="0E6A2EDB" w:rsidR="2C615F48" w:rsidRDefault="2C615F48" w:rsidP="2C615F48">
      <w:pPr>
        <w:spacing w:line="257" w:lineRule="auto"/>
      </w:pPr>
      <w:r>
        <w:t xml:space="preserve">The Tapash CFLRP in central Washington included </w:t>
      </w:r>
      <w:r w:rsidRPr="00A05940">
        <w:rPr>
          <w:b/>
          <w:bCs/>
        </w:rPr>
        <w:t>1.6 million</w:t>
      </w:r>
      <w:r w:rsidR="00A05940">
        <w:rPr>
          <w:b/>
          <w:bCs/>
        </w:rPr>
        <w:t xml:space="preserve"> acres</w:t>
      </w:r>
      <w:r>
        <w:t xml:space="preserve"> of the 2.3-million-acre Tapash landscape, spanning from the Yakima Valley shrublands to dry and mesic forests up to the crest of the Cascade Mountains and including portions of the </w:t>
      </w:r>
      <w:r w:rsidRPr="00A05940">
        <w:rPr>
          <w:b/>
          <w:bCs/>
        </w:rPr>
        <w:t>Okanogan-Wenatchee National Forest</w:t>
      </w:r>
      <w:r>
        <w:t>. Tapash partners collaboratively developed and coordinated active restoration projects across federal, state, and private lands to improve the ecosystem health and natural functions of the landscape. Tapash activities included reducing fire risk, increasing forest job opportunities, producing bio-energy and wood processing infrastructure assessments, improving salmon habitat and passage, and enhancing ecosystem resilience while creating opportunities to manage wildfire for better outcomes for people and ecosystems. In addition to the measurable indicators of success summarized, this project led to multiple peer-reviewed studies and publications that influenced large-scale, regional forest health plans.</w:t>
      </w:r>
    </w:p>
    <w:p w14:paraId="29A73AB7" w14:textId="143BDA3D" w:rsidR="009A0680" w:rsidRPr="009A6C54" w:rsidRDefault="57C000F1" w:rsidP="57C000F1">
      <w:pPr>
        <w:pStyle w:val="NoSpacing"/>
        <w:numPr>
          <w:ilvl w:val="0"/>
          <w:numId w:val="8"/>
        </w:numPr>
        <w:spacing w:line="257" w:lineRule="auto"/>
      </w:pPr>
      <w:r>
        <w:t xml:space="preserve">Total investment: $48.3 </w:t>
      </w:r>
      <w:r w:rsidR="00A05940">
        <w:t>million</w:t>
      </w:r>
      <w:r>
        <w:t xml:space="preserve">, including $21.8 </w:t>
      </w:r>
      <w:r w:rsidR="00A05940">
        <w:t>million</w:t>
      </w:r>
      <w:r>
        <w:t xml:space="preserve"> in partner investments  </w:t>
      </w:r>
    </w:p>
    <w:p w14:paraId="0855716B" w14:textId="6506E198" w:rsidR="009A0680" w:rsidRPr="009A6C54" w:rsidRDefault="2C615F48" w:rsidP="2C615F48">
      <w:pPr>
        <w:pStyle w:val="NoSpacing"/>
        <w:numPr>
          <w:ilvl w:val="0"/>
          <w:numId w:val="8"/>
        </w:numPr>
        <w:spacing w:line="257" w:lineRule="auto"/>
      </w:pPr>
      <w:r>
        <w:t xml:space="preserve">29,946 acres of hazardous fuels treated </w:t>
      </w:r>
    </w:p>
    <w:p w14:paraId="1F02C61E" w14:textId="30F52BA1" w:rsidR="009A0680" w:rsidRPr="009A6C54" w:rsidRDefault="2C615F48" w:rsidP="2C615F48">
      <w:pPr>
        <w:pStyle w:val="NoSpacing"/>
        <w:numPr>
          <w:ilvl w:val="0"/>
          <w:numId w:val="8"/>
        </w:numPr>
        <w:spacing w:line="257" w:lineRule="auto"/>
      </w:pPr>
      <w:r>
        <w:t>175,990 cubic feet of timber volume sold (approx. 88 MMBF)</w:t>
      </w:r>
    </w:p>
    <w:p w14:paraId="30370305" w14:textId="54E2149A" w:rsidR="009A0680" w:rsidRPr="009A6C54" w:rsidRDefault="776EC62F" w:rsidP="57C000F1">
      <w:pPr>
        <w:pStyle w:val="NoSpacing"/>
        <w:numPr>
          <w:ilvl w:val="0"/>
          <w:numId w:val="8"/>
        </w:numPr>
        <w:spacing w:line="257" w:lineRule="auto"/>
      </w:pPr>
      <w:r>
        <w:t xml:space="preserve">Estimated 120 jobs supported per year (avg) </w:t>
      </w:r>
    </w:p>
    <w:p w14:paraId="4F8A4016" w14:textId="4C605171" w:rsidR="009A0680" w:rsidRPr="009A6C54" w:rsidRDefault="3A11B581" w:rsidP="3A11B581">
      <w:pPr>
        <w:pStyle w:val="NoSpacing"/>
        <w:numPr>
          <w:ilvl w:val="0"/>
          <w:numId w:val="8"/>
        </w:numPr>
        <w:spacing w:line="257" w:lineRule="auto"/>
      </w:pPr>
      <w:r>
        <w:t>Nearly 30 miles of stream restored and over 100,000 acres of terrestrial habitat enhanced</w:t>
      </w:r>
    </w:p>
    <w:p w14:paraId="70D25189" w14:textId="70A19E98" w:rsidR="3A11B581" w:rsidRDefault="3A11B581" w:rsidP="3A11B581">
      <w:pPr>
        <w:pStyle w:val="NoSpacing"/>
        <w:spacing w:line="257" w:lineRule="auto"/>
        <w:ind w:left="720"/>
        <w:rPr>
          <w:highlight w:val="yellow"/>
        </w:rPr>
      </w:pPr>
    </w:p>
    <w:p w14:paraId="1889E0FA" w14:textId="0368B147" w:rsidR="2C615F48" w:rsidRDefault="2E41E56C" w:rsidP="2C615F48">
      <w:pPr>
        <w:spacing w:line="257" w:lineRule="auto"/>
        <w:rPr>
          <w:i/>
          <w:iCs/>
        </w:rPr>
      </w:pPr>
      <w:r w:rsidRPr="2E41E56C">
        <w:rPr>
          <w:i/>
          <w:iCs/>
        </w:rPr>
        <w:t xml:space="preserve">Example highlight: </w:t>
      </w:r>
      <w:r w:rsidRPr="2E41E56C">
        <w:rPr>
          <w:rFonts w:eastAsiaTheme="minorEastAsia"/>
        </w:rPr>
        <w:t>Tapash projects ide</w:t>
      </w:r>
      <w:r w:rsidRPr="2E41E56C">
        <w:rPr>
          <w:rFonts w:ascii="Aptos" w:eastAsia="Aptos" w:hAnsi="Aptos" w:cs="Aptos"/>
        </w:rPr>
        <w:t xml:space="preserve">ntified values and the potential impact of wildfire, and mitigation actions were implemented around critical values at risk (e.g. cell towers, power transmission lines, structures). Analysis of the Schneider Spring fire indicates that treatments provided opportunities to manage the fire in a way that reduced impacts to values at risk and provided more time to implement mitigation measures for community structure protection. Coordinated efforts around the </w:t>
      </w:r>
      <w:hyperlink r:id="rId8">
        <w:r w:rsidRPr="2E41E56C">
          <w:rPr>
            <w:rFonts w:eastAsiaTheme="minorEastAsia"/>
          </w:rPr>
          <w:t>Manastash-Taneum Project</w:t>
        </w:r>
      </w:hyperlink>
      <w:r w:rsidRPr="2E41E56C">
        <w:rPr>
          <w:rFonts w:eastAsiaTheme="minorEastAsia"/>
        </w:rPr>
        <w:t xml:space="preserve"> and </w:t>
      </w:r>
      <w:hyperlink r:id="rId9">
        <w:r w:rsidRPr="2E41E56C">
          <w:rPr>
            <w:rFonts w:eastAsiaTheme="minorEastAsia"/>
          </w:rPr>
          <w:t>Upper Cle Elum Project,</w:t>
        </w:r>
      </w:hyperlink>
      <w:r w:rsidRPr="2E41E56C">
        <w:rPr>
          <w:rFonts w:eastAsiaTheme="minorEastAsia"/>
        </w:rPr>
        <w:t xml:space="preserve"> and with the </w:t>
      </w:r>
      <w:hyperlink r:id="rId10">
        <w:r w:rsidRPr="2E41E56C">
          <w:rPr>
            <w:rFonts w:eastAsiaTheme="minorEastAsia"/>
          </w:rPr>
          <w:t>Kittitas Fire Adapted Community Coalition</w:t>
        </w:r>
      </w:hyperlink>
      <w:r w:rsidRPr="2E41E56C">
        <w:rPr>
          <w:rFonts w:eastAsiaTheme="minorEastAsia"/>
        </w:rPr>
        <w:t>, have begun to demonstrate how cross-boundary mitigation investments demonstrate risk reduction and increase community fire resilience.</w:t>
      </w:r>
    </w:p>
    <w:p w14:paraId="695162C0" w14:textId="16F44B96" w:rsidR="009A0680" w:rsidRPr="009A6C54" w:rsidRDefault="2C615F48" w:rsidP="2C615F48">
      <w:pPr>
        <w:pStyle w:val="Heading4"/>
        <w:rPr>
          <w:rFonts w:ascii="Aptos" w:eastAsia="Aptos" w:hAnsi="Aptos" w:cs="Aptos"/>
        </w:rPr>
      </w:pPr>
      <w:r w:rsidRPr="2C615F48">
        <w:rPr>
          <w:rFonts w:ascii="Aptos" w:eastAsia="Aptos" w:hAnsi="Aptos" w:cs="Aptos"/>
          <w:b/>
          <w:bCs/>
          <w:i w:val="0"/>
          <w:iCs w:val="0"/>
        </w:rPr>
        <w:t>Region 6 has one project that has been approved by the Secretary and is awaiting funding</w:t>
      </w:r>
    </w:p>
    <w:p w14:paraId="2E31BC8C" w14:textId="1C2EC8F8" w:rsidR="009A0680" w:rsidRPr="009A6C54" w:rsidRDefault="2C615F48" w:rsidP="2C615F48">
      <w:pPr>
        <w:spacing w:line="257" w:lineRule="auto"/>
        <w:rPr>
          <w:rFonts w:ascii="Aptos" w:eastAsia="Aptos" w:hAnsi="Aptos" w:cs="Aptos"/>
          <w:b/>
          <w:bCs/>
          <w:color w:val="000000" w:themeColor="text1"/>
        </w:rPr>
      </w:pPr>
      <w:r w:rsidRPr="2C615F48">
        <w:rPr>
          <w:rFonts w:ascii="Aptos" w:eastAsia="Aptos" w:hAnsi="Aptos" w:cs="Aptos"/>
          <w:b/>
          <w:bCs/>
          <w:color w:val="000000" w:themeColor="text1"/>
        </w:rPr>
        <w:t>Northeast Washington Selkirks</w:t>
      </w:r>
    </w:p>
    <w:p w14:paraId="6D4AAE66" w14:textId="6AF3EC9B" w:rsidR="009A0680" w:rsidRPr="009A6C54" w:rsidRDefault="00A05940" w:rsidP="57C000F1">
      <w:pPr>
        <w:pStyle w:val="ListParagraph"/>
        <w:numPr>
          <w:ilvl w:val="0"/>
          <w:numId w:val="2"/>
        </w:numPr>
        <w:spacing w:line="257" w:lineRule="auto"/>
        <w:rPr>
          <w:rFonts w:ascii="Aptos" w:eastAsia="Aptos" w:hAnsi="Aptos" w:cs="Aptos"/>
        </w:rPr>
      </w:pPr>
      <w:r w:rsidRPr="57C000F1">
        <w:rPr>
          <w:rFonts w:eastAsiaTheme="minorEastAsia"/>
        </w:rPr>
        <w:t>339,000-acre</w:t>
      </w:r>
      <w:r w:rsidR="57C000F1" w:rsidRPr="57C000F1">
        <w:rPr>
          <w:rFonts w:eastAsiaTheme="minorEastAsia"/>
        </w:rPr>
        <w:t xml:space="preserve"> landscape in Washington State</w:t>
      </w:r>
    </w:p>
    <w:p w14:paraId="27BC257B" w14:textId="201F2FE2" w:rsidR="009A0680" w:rsidRPr="00A05940" w:rsidRDefault="57C000F1" w:rsidP="6CB77AA6">
      <w:pPr>
        <w:pStyle w:val="ListParagraph"/>
        <w:numPr>
          <w:ilvl w:val="0"/>
          <w:numId w:val="2"/>
        </w:numPr>
        <w:spacing w:line="257" w:lineRule="auto"/>
        <w:rPr>
          <w:rFonts w:ascii="Aptos" w:eastAsia="Aptos" w:hAnsi="Aptos" w:cs="Aptos"/>
        </w:rPr>
      </w:pPr>
      <w:r w:rsidRPr="57C000F1">
        <w:rPr>
          <w:rFonts w:eastAsiaTheme="minorEastAsia"/>
        </w:rPr>
        <w:t>This landscape is in an area where natural resources drive the local economy. There is active, ongoing restoration that aligns strongly with State priorities with increased capacity through partnerships and third party contracting.</w:t>
      </w:r>
    </w:p>
    <w:sectPr w:rsidR="009A0680" w:rsidRPr="00A05940">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89AD3" w14:textId="77777777" w:rsidR="00916015" w:rsidRDefault="00916015">
      <w:pPr>
        <w:spacing w:after="0" w:line="240" w:lineRule="auto"/>
      </w:pPr>
      <w:r>
        <w:separator/>
      </w:r>
    </w:p>
  </w:endnote>
  <w:endnote w:type="continuationSeparator" w:id="0">
    <w:p w14:paraId="4D1F1762" w14:textId="77777777" w:rsidR="00916015" w:rsidRDefault="00916015">
      <w:pPr>
        <w:spacing w:after="0" w:line="240" w:lineRule="auto"/>
      </w:pPr>
      <w:r>
        <w:continuationSeparator/>
      </w:r>
    </w:p>
  </w:endnote>
  <w:endnote w:id="1">
    <w:p w14:paraId="7970F8B6" w14:textId="649A0A4D" w:rsidR="000135B4" w:rsidRDefault="000135B4" w:rsidP="5C7B82CB">
      <w:pPr>
        <w:pStyle w:val="EndnoteText"/>
      </w:pPr>
      <w:r w:rsidRPr="5C7B82CB">
        <w:rPr>
          <w:rStyle w:val="EndnoteReference"/>
        </w:rPr>
        <w:endnoteRef/>
      </w:r>
      <w:r>
        <w:t xml:space="preserve"> As reported in gPAS, over life of Program</w:t>
      </w:r>
      <w:r w:rsidR="002D549E">
        <w:t xml:space="preserve"> (with alumni data removed after funding ended)</w:t>
      </w:r>
      <w:r>
        <w:t>, FY10-FY24</w:t>
      </w:r>
      <w:r w:rsidR="008777A4">
        <w:t>.</w:t>
      </w:r>
    </w:p>
  </w:endnote>
  <w:endnote w:id="2">
    <w:p w14:paraId="11ED666F" w14:textId="2BF9ECDE" w:rsidR="000135B4" w:rsidRDefault="000135B4" w:rsidP="5C7B82CB">
      <w:pPr>
        <w:pStyle w:val="EndnoteText"/>
      </w:pPr>
      <w:r w:rsidRPr="5C7B82CB">
        <w:rPr>
          <w:rStyle w:val="EndnoteReference"/>
        </w:rPr>
        <w:endnoteRef/>
      </w:r>
      <w:r>
        <w:t xml:space="preserve"> As reported in Fuels Treatment Effectiveness Monitoring (FTEM), FY17-23</w:t>
      </w:r>
    </w:p>
  </w:endnote>
  <w:endnote w:id="3">
    <w:p w14:paraId="71CCDBC7" w14:textId="0CBB2E04" w:rsidR="000135B4" w:rsidRDefault="000135B4" w:rsidP="5C7B82CB">
      <w:pPr>
        <w:pStyle w:val="EndnoteText"/>
      </w:pPr>
      <w:r w:rsidRPr="5C7B82CB">
        <w:rPr>
          <w:rStyle w:val="EndnoteReference"/>
        </w:rPr>
        <w:endnoteRef/>
      </w:r>
      <w:r>
        <w:t xml:space="preserve"> FY10-FY23</w:t>
      </w:r>
    </w:p>
  </w:endnote>
  <w:endnote w:id="4">
    <w:p w14:paraId="2AB53B5B" w14:textId="38106F51" w:rsidR="000135B4" w:rsidRDefault="000135B4">
      <w:pPr>
        <w:pStyle w:val="EndnoteText"/>
      </w:pPr>
      <w:r>
        <w:rPr>
          <w:rStyle w:val="EndnoteReference"/>
        </w:rPr>
        <w:endnoteRef/>
      </w:r>
      <w:r>
        <w:t xml:space="preserve"> As reported/modelled using </w:t>
      </w:r>
      <w:r w:rsidR="00044E9C">
        <w:t>the Treatment for Restoration Economic Analysis Toolkit (</w:t>
      </w:r>
      <w:r>
        <w:t>TREAT</w:t>
      </w:r>
      <w:r w:rsidR="00044E9C">
        <w:t>)</w:t>
      </w:r>
      <w:r>
        <w:t>, FY11-FY24</w:t>
      </w:r>
    </w:p>
  </w:endnote>
  <w:endnote w:id="5">
    <w:p w14:paraId="0C20E59E" w14:textId="13268C0C" w:rsidR="000135B4" w:rsidRDefault="000135B4">
      <w:pPr>
        <w:pStyle w:val="EndnoteText"/>
      </w:pPr>
      <w:r>
        <w:rPr>
          <w:rStyle w:val="EndnoteReference"/>
        </w:rPr>
        <w:endnoteRef/>
      </w:r>
      <w:r>
        <w:t xml:space="preserve"> Timber Harvest Executive Dashboard</w:t>
      </w:r>
    </w:p>
  </w:endnote>
  <w:endnote w:id="6">
    <w:p w14:paraId="6B823263" w14:textId="402C88E6" w:rsidR="000135B4" w:rsidRDefault="000135B4">
      <w:pPr>
        <w:pStyle w:val="EndnoteText"/>
      </w:pPr>
      <w:r>
        <w:rPr>
          <w:rStyle w:val="EndnoteReference"/>
        </w:rPr>
        <w:endnoteRef/>
      </w:r>
      <w:r>
        <w:t xml:space="preserve"> </w:t>
      </w:r>
      <w:r w:rsidR="00EF31E5">
        <w:t>P</w:t>
      </w:r>
      <w:r w:rsidR="002D549E">
        <w:t xml:space="preserve">artner organizations </w:t>
      </w:r>
      <w:r w:rsidR="00EF31E5">
        <w:t xml:space="preserve">as reported in project annual reports </w:t>
      </w:r>
      <w:r w:rsidR="002D549E">
        <w:t>through FY23</w:t>
      </w:r>
    </w:p>
  </w:endnote>
  <w:endnote w:id="7">
    <w:p w14:paraId="74779BF6" w14:textId="67A27E5F" w:rsidR="00EF31E5" w:rsidRDefault="00EF31E5">
      <w:pPr>
        <w:pStyle w:val="EndnoteText"/>
      </w:pPr>
      <w:r>
        <w:rPr>
          <w:rStyle w:val="EndnoteReference"/>
        </w:rPr>
        <w:endnoteRef/>
      </w:r>
      <w:r>
        <w:t xml:space="preserve"> Financial information from annual reports and FMMI through FY24. Total investment includes CFLRP funding (CFLN, CFIX), other Agency investments (discretionary and salary &amp; expense), goods for services through stewardship contracts, agreements, and program income through Good Neighbor Authority), and partner match (funding and in-kind).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7C000F1" w14:paraId="2C67B524" w14:textId="77777777" w:rsidTr="57C000F1">
      <w:trPr>
        <w:trHeight w:val="300"/>
      </w:trPr>
      <w:tc>
        <w:tcPr>
          <w:tcW w:w="3120" w:type="dxa"/>
        </w:tcPr>
        <w:p w14:paraId="3457E927" w14:textId="367EE65D" w:rsidR="57C000F1" w:rsidRDefault="57C000F1" w:rsidP="57C000F1">
          <w:pPr>
            <w:pStyle w:val="Header"/>
            <w:ind w:left="-115"/>
          </w:pPr>
        </w:p>
      </w:tc>
      <w:tc>
        <w:tcPr>
          <w:tcW w:w="3120" w:type="dxa"/>
        </w:tcPr>
        <w:p w14:paraId="24569800" w14:textId="2E70E430" w:rsidR="57C000F1" w:rsidRDefault="57C000F1" w:rsidP="57C000F1">
          <w:pPr>
            <w:pStyle w:val="Header"/>
            <w:jc w:val="center"/>
          </w:pPr>
        </w:p>
      </w:tc>
      <w:tc>
        <w:tcPr>
          <w:tcW w:w="3120" w:type="dxa"/>
        </w:tcPr>
        <w:p w14:paraId="0DAA59A8" w14:textId="48FF0F6A" w:rsidR="57C000F1" w:rsidRDefault="57C000F1" w:rsidP="57C000F1">
          <w:pPr>
            <w:pStyle w:val="Header"/>
            <w:ind w:right="-115"/>
            <w:jc w:val="right"/>
          </w:pPr>
        </w:p>
      </w:tc>
    </w:tr>
  </w:tbl>
  <w:p w14:paraId="6F77D193" w14:textId="4A1BD096" w:rsidR="57C000F1" w:rsidRDefault="57C000F1" w:rsidP="57C000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ECC15" w14:textId="77777777" w:rsidR="00916015" w:rsidRDefault="00916015">
      <w:pPr>
        <w:spacing w:after="0" w:line="240" w:lineRule="auto"/>
      </w:pPr>
      <w:r>
        <w:separator/>
      </w:r>
    </w:p>
  </w:footnote>
  <w:footnote w:type="continuationSeparator" w:id="0">
    <w:p w14:paraId="4C55F884" w14:textId="77777777" w:rsidR="00916015" w:rsidRDefault="009160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7C000F1" w14:paraId="495EDC92" w14:textId="77777777" w:rsidTr="57C000F1">
      <w:trPr>
        <w:trHeight w:val="300"/>
      </w:trPr>
      <w:tc>
        <w:tcPr>
          <w:tcW w:w="3120" w:type="dxa"/>
        </w:tcPr>
        <w:p w14:paraId="04800EDA" w14:textId="24DDEBD2" w:rsidR="57C000F1" w:rsidRDefault="57C000F1" w:rsidP="57C000F1">
          <w:pPr>
            <w:pStyle w:val="Header"/>
            <w:ind w:left="-115"/>
          </w:pPr>
        </w:p>
      </w:tc>
      <w:tc>
        <w:tcPr>
          <w:tcW w:w="3120" w:type="dxa"/>
        </w:tcPr>
        <w:p w14:paraId="4530029D" w14:textId="1ECE5DE9" w:rsidR="57C000F1" w:rsidRDefault="57C000F1" w:rsidP="57C000F1">
          <w:pPr>
            <w:pStyle w:val="Header"/>
            <w:jc w:val="center"/>
          </w:pPr>
        </w:p>
      </w:tc>
      <w:tc>
        <w:tcPr>
          <w:tcW w:w="3120" w:type="dxa"/>
        </w:tcPr>
        <w:p w14:paraId="12829D64" w14:textId="6A40608A" w:rsidR="57C000F1" w:rsidRDefault="57C000F1" w:rsidP="57C000F1">
          <w:pPr>
            <w:pStyle w:val="Header"/>
            <w:ind w:right="-115"/>
            <w:jc w:val="right"/>
          </w:pPr>
        </w:p>
      </w:tc>
    </w:tr>
  </w:tbl>
  <w:p w14:paraId="7D1C26A8" w14:textId="36290B10" w:rsidR="57C000F1" w:rsidRDefault="57C000F1" w:rsidP="57C000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6501D"/>
    <w:multiLevelType w:val="hybridMultilevel"/>
    <w:tmpl w:val="77A0A1FA"/>
    <w:lvl w:ilvl="0" w:tplc="6CA08FAC">
      <w:start w:val="1"/>
      <w:numFmt w:val="bullet"/>
      <w:lvlText w:val="•"/>
      <w:lvlJc w:val="left"/>
      <w:pPr>
        <w:tabs>
          <w:tab w:val="num" w:pos="720"/>
        </w:tabs>
        <w:ind w:left="720" w:hanging="360"/>
      </w:pPr>
      <w:rPr>
        <w:rFonts w:ascii="Arial" w:hAnsi="Arial" w:hint="default"/>
      </w:rPr>
    </w:lvl>
    <w:lvl w:ilvl="1" w:tplc="63FE8C44" w:tentative="1">
      <w:start w:val="1"/>
      <w:numFmt w:val="bullet"/>
      <w:lvlText w:val="•"/>
      <w:lvlJc w:val="left"/>
      <w:pPr>
        <w:tabs>
          <w:tab w:val="num" w:pos="1440"/>
        </w:tabs>
        <w:ind w:left="1440" w:hanging="360"/>
      </w:pPr>
      <w:rPr>
        <w:rFonts w:ascii="Arial" w:hAnsi="Arial" w:hint="default"/>
      </w:rPr>
    </w:lvl>
    <w:lvl w:ilvl="2" w:tplc="B67A122E" w:tentative="1">
      <w:start w:val="1"/>
      <w:numFmt w:val="bullet"/>
      <w:lvlText w:val="•"/>
      <w:lvlJc w:val="left"/>
      <w:pPr>
        <w:tabs>
          <w:tab w:val="num" w:pos="2160"/>
        </w:tabs>
        <w:ind w:left="2160" w:hanging="360"/>
      </w:pPr>
      <w:rPr>
        <w:rFonts w:ascii="Arial" w:hAnsi="Arial" w:hint="default"/>
      </w:rPr>
    </w:lvl>
    <w:lvl w:ilvl="3" w:tplc="D4ECE2DE" w:tentative="1">
      <w:start w:val="1"/>
      <w:numFmt w:val="bullet"/>
      <w:lvlText w:val="•"/>
      <w:lvlJc w:val="left"/>
      <w:pPr>
        <w:tabs>
          <w:tab w:val="num" w:pos="2880"/>
        </w:tabs>
        <w:ind w:left="2880" w:hanging="360"/>
      </w:pPr>
      <w:rPr>
        <w:rFonts w:ascii="Arial" w:hAnsi="Arial" w:hint="default"/>
      </w:rPr>
    </w:lvl>
    <w:lvl w:ilvl="4" w:tplc="1AAECFB6">
      <w:start w:val="1"/>
      <w:numFmt w:val="bullet"/>
      <w:lvlText w:val="•"/>
      <w:lvlJc w:val="left"/>
      <w:pPr>
        <w:tabs>
          <w:tab w:val="num" w:pos="3600"/>
        </w:tabs>
        <w:ind w:left="3600" w:hanging="360"/>
      </w:pPr>
      <w:rPr>
        <w:rFonts w:ascii="Arial" w:hAnsi="Arial" w:hint="default"/>
      </w:rPr>
    </w:lvl>
    <w:lvl w:ilvl="5" w:tplc="2F10F4F6" w:tentative="1">
      <w:start w:val="1"/>
      <w:numFmt w:val="bullet"/>
      <w:lvlText w:val="•"/>
      <w:lvlJc w:val="left"/>
      <w:pPr>
        <w:tabs>
          <w:tab w:val="num" w:pos="4320"/>
        </w:tabs>
        <w:ind w:left="4320" w:hanging="360"/>
      </w:pPr>
      <w:rPr>
        <w:rFonts w:ascii="Arial" w:hAnsi="Arial" w:hint="default"/>
      </w:rPr>
    </w:lvl>
    <w:lvl w:ilvl="6" w:tplc="156C3DFA" w:tentative="1">
      <w:start w:val="1"/>
      <w:numFmt w:val="bullet"/>
      <w:lvlText w:val="•"/>
      <w:lvlJc w:val="left"/>
      <w:pPr>
        <w:tabs>
          <w:tab w:val="num" w:pos="5040"/>
        </w:tabs>
        <w:ind w:left="5040" w:hanging="360"/>
      </w:pPr>
      <w:rPr>
        <w:rFonts w:ascii="Arial" w:hAnsi="Arial" w:hint="default"/>
      </w:rPr>
    </w:lvl>
    <w:lvl w:ilvl="7" w:tplc="09185AA2" w:tentative="1">
      <w:start w:val="1"/>
      <w:numFmt w:val="bullet"/>
      <w:lvlText w:val="•"/>
      <w:lvlJc w:val="left"/>
      <w:pPr>
        <w:tabs>
          <w:tab w:val="num" w:pos="5760"/>
        </w:tabs>
        <w:ind w:left="5760" w:hanging="360"/>
      </w:pPr>
      <w:rPr>
        <w:rFonts w:ascii="Arial" w:hAnsi="Arial" w:hint="default"/>
      </w:rPr>
    </w:lvl>
    <w:lvl w:ilvl="8" w:tplc="4BC2EAC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3450DCE"/>
    <w:multiLevelType w:val="hybridMultilevel"/>
    <w:tmpl w:val="9208A774"/>
    <w:lvl w:ilvl="0" w:tplc="FFFFFFFF">
      <w:start w:val="7"/>
      <w:numFmt w:val="bullet"/>
      <w:lvlText w:val="-"/>
      <w:lvlJc w:val="left"/>
      <w:pPr>
        <w:ind w:left="720" w:hanging="360"/>
      </w:pPr>
      <w:rPr>
        <w:rFonts w:ascii="Aptos" w:hAnsi="Aptos" w:hint="default"/>
      </w:rPr>
    </w:lvl>
    <w:lvl w:ilvl="1" w:tplc="FFFFFFFF">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9AE16"/>
    <w:multiLevelType w:val="hybridMultilevel"/>
    <w:tmpl w:val="7E9E1052"/>
    <w:lvl w:ilvl="0" w:tplc="715E9A4E">
      <w:start w:val="1"/>
      <w:numFmt w:val="bullet"/>
      <w:lvlText w:val="-"/>
      <w:lvlJc w:val="left"/>
      <w:pPr>
        <w:ind w:left="720" w:hanging="360"/>
      </w:pPr>
      <w:rPr>
        <w:rFonts w:ascii="Aptos" w:hAnsi="Aptos" w:hint="default"/>
      </w:rPr>
    </w:lvl>
    <w:lvl w:ilvl="1" w:tplc="1C4A9D4E">
      <w:start w:val="1"/>
      <w:numFmt w:val="bullet"/>
      <w:lvlText w:val="o"/>
      <w:lvlJc w:val="left"/>
      <w:pPr>
        <w:ind w:left="1440" w:hanging="360"/>
      </w:pPr>
      <w:rPr>
        <w:rFonts w:ascii="Aptos" w:hAnsi="Aptos" w:hint="default"/>
      </w:rPr>
    </w:lvl>
    <w:lvl w:ilvl="2" w:tplc="34980062">
      <w:start w:val="1"/>
      <w:numFmt w:val="bullet"/>
      <w:lvlText w:val=""/>
      <w:lvlJc w:val="left"/>
      <w:pPr>
        <w:ind w:left="2160" w:hanging="360"/>
      </w:pPr>
      <w:rPr>
        <w:rFonts w:ascii="Wingdings" w:hAnsi="Wingdings" w:hint="default"/>
      </w:rPr>
    </w:lvl>
    <w:lvl w:ilvl="3" w:tplc="0E400186">
      <w:start w:val="1"/>
      <w:numFmt w:val="bullet"/>
      <w:lvlText w:val=""/>
      <w:lvlJc w:val="left"/>
      <w:pPr>
        <w:ind w:left="2880" w:hanging="360"/>
      </w:pPr>
      <w:rPr>
        <w:rFonts w:ascii="Symbol" w:hAnsi="Symbol" w:hint="default"/>
      </w:rPr>
    </w:lvl>
    <w:lvl w:ilvl="4" w:tplc="EC505574">
      <w:start w:val="1"/>
      <w:numFmt w:val="bullet"/>
      <w:lvlText w:val="o"/>
      <w:lvlJc w:val="left"/>
      <w:pPr>
        <w:ind w:left="3600" w:hanging="360"/>
      </w:pPr>
      <w:rPr>
        <w:rFonts w:ascii="Courier New" w:hAnsi="Courier New" w:hint="default"/>
      </w:rPr>
    </w:lvl>
    <w:lvl w:ilvl="5" w:tplc="D130CB84">
      <w:start w:val="1"/>
      <w:numFmt w:val="bullet"/>
      <w:lvlText w:val=""/>
      <w:lvlJc w:val="left"/>
      <w:pPr>
        <w:ind w:left="4320" w:hanging="360"/>
      </w:pPr>
      <w:rPr>
        <w:rFonts w:ascii="Wingdings" w:hAnsi="Wingdings" w:hint="default"/>
      </w:rPr>
    </w:lvl>
    <w:lvl w:ilvl="6" w:tplc="3C2E08FC">
      <w:start w:val="1"/>
      <w:numFmt w:val="bullet"/>
      <w:lvlText w:val=""/>
      <w:lvlJc w:val="left"/>
      <w:pPr>
        <w:ind w:left="5040" w:hanging="360"/>
      </w:pPr>
      <w:rPr>
        <w:rFonts w:ascii="Symbol" w:hAnsi="Symbol" w:hint="default"/>
      </w:rPr>
    </w:lvl>
    <w:lvl w:ilvl="7" w:tplc="040A736E">
      <w:start w:val="1"/>
      <w:numFmt w:val="bullet"/>
      <w:lvlText w:val="o"/>
      <w:lvlJc w:val="left"/>
      <w:pPr>
        <w:ind w:left="5760" w:hanging="360"/>
      </w:pPr>
      <w:rPr>
        <w:rFonts w:ascii="Courier New" w:hAnsi="Courier New" w:hint="default"/>
      </w:rPr>
    </w:lvl>
    <w:lvl w:ilvl="8" w:tplc="BC14DAD8">
      <w:start w:val="1"/>
      <w:numFmt w:val="bullet"/>
      <w:lvlText w:val=""/>
      <w:lvlJc w:val="left"/>
      <w:pPr>
        <w:ind w:left="6480" w:hanging="360"/>
      </w:pPr>
      <w:rPr>
        <w:rFonts w:ascii="Wingdings" w:hAnsi="Wingdings" w:hint="default"/>
      </w:rPr>
    </w:lvl>
  </w:abstractNum>
  <w:abstractNum w:abstractNumId="3" w15:restartNumberingAfterBreak="0">
    <w:nsid w:val="0A3FE07A"/>
    <w:multiLevelType w:val="hybridMultilevel"/>
    <w:tmpl w:val="B952192C"/>
    <w:lvl w:ilvl="0" w:tplc="11508274">
      <w:start w:val="1"/>
      <w:numFmt w:val="bullet"/>
      <w:lvlText w:val="-"/>
      <w:lvlJc w:val="left"/>
      <w:pPr>
        <w:ind w:left="720" w:hanging="360"/>
      </w:pPr>
      <w:rPr>
        <w:rFonts w:ascii="Calibri" w:hAnsi="Calibri" w:hint="default"/>
      </w:rPr>
    </w:lvl>
    <w:lvl w:ilvl="1" w:tplc="457AE5E2">
      <w:start w:val="1"/>
      <w:numFmt w:val="bullet"/>
      <w:lvlText w:val="o"/>
      <w:lvlJc w:val="left"/>
      <w:pPr>
        <w:ind w:left="1440" w:hanging="360"/>
      </w:pPr>
      <w:rPr>
        <w:rFonts w:ascii="Courier New" w:hAnsi="Courier New" w:hint="default"/>
      </w:rPr>
    </w:lvl>
    <w:lvl w:ilvl="2" w:tplc="ADAE6912">
      <w:start w:val="1"/>
      <w:numFmt w:val="bullet"/>
      <w:lvlText w:val=""/>
      <w:lvlJc w:val="left"/>
      <w:pPr>
        <w:ind w:left="2160" w:hanging="360"/>
      </w:pPr>
      <w:rPr>
        <w:rFonts w:ascii="Wingdings" w:hAnsi="Wingdings" w:hint="default"/>
      </w:rPr>
    </w:lvl>
    <w:lvl w:ilvl="3" w:tplc="66AEB8C2">
      <w:start w:val="1"/>
      <w:numFmt w:val="bullet"/>
      <w:lvlText w:val=""/>
      <w:lvlJc w:val="left"/>
      <w:pPr>
        <w:ind w:left="2880" w:hanging="360"/>
      </w:pPr>
      <w:rPr>
        <w:rFonts w:ascii="Symbol" w:hAnsi="Symbol" w:hint="default"/>
      </w:rPr>
    </w:lvl>
    <w:lvl w:ilvl="4" w:tplc="63DE98D6">
      <w:start w:val="1"/>
      <w:numFmt w:val="bullet"/>
      <w:lvlText w:val="o"/>
      <w:lvlJc w:val="left"/>
      <w:pPr>
        <w:ind w:left="3600" w:hanging="360"/>
      </w:pPr>
      <w:rPr>
        <w:rFonts w:ascii="Courier New" w:hAnsi="Courier New" w:hint="default"/>
      </w:rPr>
    </w:lvl>
    <w:lvl w:ilvl="5" w:tplc="D5104CCA">
      <w:start w:val="1"/>
      <w:numFmt w:val="bullet"/>
      <w:lvlText w:val=""/>
      <w:lvlJc w:val="left"/>
      <w:pPr>
        <w:ind w:left="4320" w:hanging="360"/>
      </w:pPr>
      <w:rPr>
        <w:rFonts w:ascii="Wingdings" w:hAnsi="Wingdings" w:hint="default"/>
      </w:rPr>
    </w:lvl>
    <w:lvl w:ilvl="6" w:tplc="53A2EB92">
      <w:start w:val="1"/>
      <w:numFmt w:val="bullet"/>
      <w:lvlText w:val=""/>
      <w:lvlJc w:val="left"/>
      <w:pPr>
        <w:ind w:left="5040" w:hanging="360"/>
      </w:pPr>
      <w:rPr>
        <w:rFonts w:ascii="Symbol" w:hAnsi="Symbol" w:hint="default"/>
      </w:rPr>
    </w:lvl>
    <w:lvl w:ilvl="7" w:tplc="E4841976">
      <w:start w:val="1"/>
      <w:numFmt w:val="bullet"/>
      <w:lvlText w:val="o"/>
      <w:lvlJc w:val="left"/>
      <w:pPr>
        <w:ind w:left="5760" w:hanging="360"/>
      </w:pPr>
      <w:rPr>
        <w:rFonts w:ascii="Courier New" w:hAnsi="Courier New" w:hint="default"/>
      </w:rPr>
    </w:lvl>
    <w:lvl w:ilvl="8" w:tplc="350EEB38">
      <w:start w:val="1"/>
      <w:numFmt w:val="bullet"/>
      <w:lvlText w:val=""/>
      <w:lvlJc w:val="left"/>
      <w:pPr>
        <w:ind w:left="6480" w:hanging="360"/>
      </w:pPr>
      <w:rPr>
        <w:rFonts w:ascii="Wingdings" w:hAnsi="Wingdings" w:hint="default"/>
      </w:rPr>
    </w:lvl>
  </w:abstractNum>
  <w:abstractNum w:abstractNumId="4" w15:restartNumberingAfterBreak="0">
    <w:nsid w:val="120030F8"/>
    <w:multiLevelType w:val="multilevel"/>
    <w:tmpl w:val="A8D22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E6C8B9"/>
    <w:multiLevelType w:val="hybridMultilevel"/>
    <w:tmpl w:val="04FC7688"/>
    <w:lvl w:ilvl="0" w:tplc="9ABCA662">
      <w:start w:val="1"/>
      <w:numFmt w:val="bullet"/>
      <w:lvlText w:val=""/>
      <w:lvlJc w:val="left"/>
      <w:pPr>
        <w:ind w:left="720" w:hanging="360"/>
      </w:pPr>
      <w:rPr>
        <w:rFonts w:ascii="Symbol" w:hAnsi="Symbol" w:hint="default"/>
      </w:rPr>
    </w:lvl>
    <w:lvl w:ilvl="1" w:tplc="761EC4C8">
      <w:start w:val="1"/>
      <w:numFmt w:val="bullet"/>
      <w:lvlText w:val="o"/>
      <w:lvlJc w:val="left"/>
      <w:pPr>
        <w:ind w:left="1440" w:hanging="360"/>
      </w:pPr>
      <w:rPr>
        <w:rFonts w:ascii="Courier New" w:hAnsi="Courier New" w:hint="default"/>
      </w:rPr>
    </w:lvl>
    <w:lvl w:ilvl="2" w:tplc="B3D231D4">
      <w:start w:val="1"/>
      <w:numFmt w:val="bullet"/>
      <w:lvlText w:val=""/>
      <w:lvlJc w:val="left"/>
      <w:pPr>
        <w:ind w:left="2160" w:hanging="360"/>
      </w:pPr>
      <w:rPr>
        <w:rFonts w:ascii="Wingdings" w:hAnsi="Wingdings" w:hint="default"/>
      </w:rPr>
    </w:lvl>
    <w:lvl w:ilvl="3" w:tplc="0C1A7BC6">
      <w:start w:val="1"/>
      <w:numFmt w:val="bullet"/>
      <w:lvlText w:val=""/>
      <w:lvlJc w:val="left"/>
      <w:pPr>
        <w:ind w:left="2880" w:hanging="360"/>
      </w:pPr>
      <w:rPr>
        <w:rFonts w:ascii="Symbol" w:hAnsi="Symbol" w:hint="default"/>
      </w:rPr>
    </w:lvl>
    <w:lvl w:ilvl="4" w:tplc="C3645D2A">
      <w:start w:val="1"/>
      <w:numFmt w:val="bullet"/>
      <w:lvlText w:val="o"/>
      <w:lvlJc w:val="left"/>
      <w:pPr>
        <w:ind w:left="3600" w:hanging="360"/>
      </w:pPr>
      <w:rPr>
        <w:rFonts w:ascii="Courier New" w:hAnsi="Courier New" w:hint="default"/>
      </w:rPr>
    </w:lvl>
    <w:lvl w:ilvl="5" w:tplc="6DE8CAA4">
      <w:start w:val="1"/>
      <w:numFmt w:val="bullet"/>
      <w:lvlText w:val=""/>
      <w:lvlJc w:val="left"/>
      <w:pPr>
        <w:ind w:left="4320" w:hanging="360"/>
      </w:pPr>
      <w:rPr>
        <w:rFonts w:ascii="Wingdings" w:hAnsi="Wingdings" w:hint="default"/>
      </w:rPr>
    </w:lvl>
    <w:lvl w:ilvl="6" w:tplc="928EE468">
      <w:start w:val="1"/>
      <w:numFmt w:val="bullet"/>
      <w:lvlText w:val=""/>
      <w:lvlJc w:val="left"/>
      <w:pPr>
        <w:ind w:left="5040" w:hanging="360"/>
      </w:pPr>
      <w:rPr>
        <w:rFonts w:ascii="Symbol" w:hAnsi="Symbol" w:hint="default"/>
      </w:rPr>
    </w:lvl>
    <w:lvl w:ilvl="7" w:tplc="1C38DFA2">
      <w:start w:val="1"/>
      <w:numFmt w:val="bullet"/>
      <w:lvlText w:val="o"/>
      <w:lvlJc w:val="left"/>
      <w:pPr>
        <w:ind w:left="5760" w:hanging="360"/>
      </w:pPr>
      <w:rPr>
        <w:rFonts w:ascii="Courier New" w:hAnsi="Courier New" w:hint="default"/>
      </w:rPr>
    </w:lvl>
    <w:lvl w:ilvl="8" w:tplc="F93C1DF0">
      <w:start w:val="1"/>
      <w:numFmt w:val="bullet"/>
      <w:lvlText w:val=""/>
      <w:lvlJc w:val="left"/>
      <w:pPr>
        <w:ind w:left="6480" w:hanging="360"/>
      </w:pPr>
      <w:rPr>
        <w:rFonts w:ascii="Wingdings" w:hAnsi="Wingdings" w:hint="default"/>
      </w:rPr>
    </w:lvl>
  </w:abstractNum>
  <w:abstractNum w:abstractNumId="6" w15:restartNumberingAfterBreak="0">
    <w:nsid w:val="21F414E9"/>
    <w:multiLevelType w:val="hybridMultilevel"/>
    <w:tmpl w:val="3F728DA2"/>
    <w:lvl w:ilvl="0" w:tplc="19EA8BC2">
      <w:start w:val="1"/>
      <w:numFmt w:val="bullet"/>
      <w:lvlText w:val="-"/>
      <w:lvlJc w:val="left"/>
      <w:pPr>
        <w:ind w:left="720" w:hanging="360"/>
      </w:pPr>
      <w:rPr>
        <w:rFonts w:ascii="Calibri" w:hAnsi="Calibri" w:hint="default"/>
      </w:rPr>
    </w:lvl>
    <w:lvl w:ilvl="1" w:tplc="2BC20EFE">
      <w:start w:val="1"/>
      <w:numFmt w:val="bullet"/>
      <w:lvlText w:val="o"/>
      <w:lvlJc w:val="left"/>
      <w:pPr>
        <w:ind w:left="1440" w:hanging="360"/>
      </w:pPr>
      <w:rPr>
        <w:rFonts w:ascii="Courier New" w:hAnsi="Courier New" w:hint="default"/>
      </w:rPr>
    </w:lvl>
    <w:lvl w:ilvl="2" w:tplc="A26EE38E">
      <w:start w:val="1"/>
      <w:numFmt w:val="bullet"/>
      <w:lvlText w:val=""/>
      <w:lvlJc w:val="left"/>
      <w:pPr>
        <w:ind w:left="2160" w:hanging="360"/>
      </w:pPr>
      <w:rPr>
        <w:rFonts w:ascii="Wingdings" w:hAnsi="Wingdings" w:hint="default"/>
      </w:rPr>
    </w:lvl>
    <w:lvl w:ilvl="3" w:tplc="42E83BDC">
      <w:start w:val="1"/>
      <w:numFmt w:val="bullet"/>
      <w:lvlText w:val=""/>
      <w:lvlJc w:val="left"/>
      <w:pPr>
        <w:ind w:left="2880" w:hanging="360"/>
      </w:pPr>
      <w:rPr>
        <w:rFonts w:ascii="Symbol" w:hAnsi="Symbol" w:hint="default"/>
      </w:rPr>
    </w:lvl>
    <w:lvl w:ilvl="4" w:tplc="C0B809BA">
      <w:start w:val="1"/>
      <w:numFmt w:val="bullet"/>
      <w:lvlText w:val="o"/>
      <w:lvlJc w:val="left"/>
      <w:pPr>
        <w:ind w:left="3600" w:hanging="360"/>
      </w:pPr>
      <w:rPr>
        <w:rFonts w:ascii="Courier New" w:hAnsi="Courier New" w:hint="default"/>
      </w:rPr>
    </w:lvl>
    <w:lvl w:ilvl="5" w:tplc="6F404DDA">
      <w:start w:val="1"/>
      <w:numFmt w:val="bullet"/>
      <w:lvlText w:val=""/>
      <w:lvlJc w:val="left"/>
      <w:pPr>
        <w:ind w:left="4320" w:hanging="360"/>
      </w:pPr>
      <w:rPr>
        <w:rFonts w:ascii="Wingdings" w:hAnsi="Wingdings" w:hint="default"/>
      </w:rPr>
    </w:lvl>
    <w:lvl w:ilvl="6" w:tplc="0F6E5C5C">
      <w:start w:val="1"/>
      <w:numFmt w:val="bullet"/>
      <w:lvlText w:val=""/>
      <w:lvlJc w:val="left"/>
      <w:pPr>
        <w:ind w:left="5040" w:hanging="360"/>
      </w:pPr>
      <w:rPr>
        <w:rFonts w:ascii="Symbol" w:hAnsi="Symbol" w:hint="default"/>
      </w:rPr>
    </w:lvl>
    <w:lvl w:ilvl="7" w:tplc="B8369C12">
      <w:start w:val="1"/>
      <w:numFmt w:val="bullet"/>
      <w:lvlText w:val="o"/>
      <w:lvlJc w:val="left"/>
      <w:pPr>
        <w:ind w:left="5760" w:hanging="360"/>
      </w:pPr>
      <w:rPr>
        <w:rFonts w:ascii="Courier New" w:hAnsi="Courier New" w:hint="default"/>
      </w:rPr>
    </w:lvl>
    <w:lvl w:ilvl="8" w:tplc="044A0D90">
      <w:start w:val="1"/>
      <w:numFmt w:val="bullet"/>
      <w:lvlText w:val=""/>
      <w:lvlJc w:val="left"/>
      <w:pPr>
        <w:ind w:left="6480" w:hanging="360"/>
      </w:pPr>
      <w:rPr>
        <w:rFonts w:ascii="Wingdings" w:hAnsi="Wingdings" w:hint="default"/>
      </w:rPr>
    </w:lvl>
  </w:abstractNum>
  <w:abstractNum w:abstractNumId="7" w15:restartNumberingAfterBreak="0">
    <w:nsid w:val="2851E45C"/>
    <w:multiLevelType w:val="hybridMultilevel"/>
    <w:tmpl w:val="C2D04D98"/>
    <w:lvl w:ilvl="0" w:tplc="4FD896E8">
      <w:start w:val="1"/>
      <w:numFmt w:val="bullet"/>
      <w:lvlText w:val="-"/>
      <w:lvlJc w:val="left"/>
      <w:pPr>
        <w:ind w:left="720" w:hanging="360"/>
      </w:pPr>
      <w:rPr>
        <w:rFonts w:ascii="Calibri" w:hAnsi="Calibri" w:hint="default"/>
      </w:rPr>
    </w:lvl>
    <w:lvl w:ilvl="1" w:tplc="E39C61A4">
      <w:start w:val="1"/>
      <w:numFmt w:val="bullet"/>
      <w:lvlText w:val="o"/>
      <w:lvlJc w:val="left"/>
      <w:pPr>
        <w:ind w:left="1440" w:hanging="360"/>
      </w:pPr>
      <w:rPr>
        <w:rFonts w:ascii="Courier New" w:hAnsi="Courier New" w:hint="default"/>
      </w:rPr>
    </w:lvl>
    <w:lvl w:ilvl="2" w:tplc="4ED47BBE">
      <w:start w:val="1"/>
      <w:numFmt w:val="bullet"/>
      <w:lvlText w:val=""/>
      <w:lvlJc w:val="left"/>
      <w:pPr>
        <w:ind w:left="2160" w:hanging="360"/>
      </w:pPr>
      <w:rPr>
        <w:rFonts w:ascii="Wingdings" w:hAnsi="Wingdings" w:hint="default"/>
      </w:rPr>
    </w:lvl>
    <w:lvl w:ilvl="3" w:tplc="B186FDE8">
      <w:start w:val="1"/>
      <w:numFmt w:val="bullet"/>
      <w:lvlText w:val=""/>
      <w:lvlJc w:val="left"/>
      <w:pPr>
        <w:ind w:left="2880" w:hanging="360"/>
      </w:pPr>
      <w:rPr>
        <w:rFonts w:ascii="Symbol" w:hAnsi="Symbol" w:hint="default"/>
      </w:rPr>
    </w:lvl>
    <w:lvl w:ilvl="4" w:tplc="351E3DFC">
      <w:start w:val="1"/>
      <w:numFmt w:val="bullet"/>
      <w:lvlText w:val="o"/>
      <w:lvlJc w:val="left"/>
      <w:pPr>
        <w:ind w:left="3600" w:hanging="360"/>
      </w:pPr>
      <w:rPr>
        <w:rFonts w:ascii="Courier New" w:hAnsi="Courier New" w:hint="default"/>
      </w:rPr>
    </w:lvl>
    <w:lvl w:ilvl="5" w:tplc="79648E46">
      <w:start w:val="1"/>
      <w:numFmt w:val="bullet"/>
      <w:lvlText w:val=""/>
      <w:lvlJc w:val="left"/>
      <w:pPr>
        <w:ind w:left="4320" w:hanging="360"/>
      </w:pPr>
      <w:rPr>
        <w:rFonts w:ascii="Wingdings" w:hAnsi="Wingdings" w:hint="default"/>
      </w:rPr>
    </w:lvl>
    <w:lvl w:ilvl="6" w:tplc="A574EC66">
      <w:start w:val="1"/>
      <w:numFmt w:val="bullet"/>
      <w:lvlText w:val=""/>
      <w:lvlJc w:val="left"/>
      <w:pPr>
        <w:ind w:left="5040" w:hanging="360"/>
      </w:pPr>
      <w:rPr>
        <w:rFonts w:ascii="Symbol" w:hAnsi="Symbol" w:hint="default"/>
      </w:rPr>
    </w:lvl>
    <w:lvl w:ilvl="7" w:tplc="BD4A376A">
      <w:start w:val="1"/>
      <w:numFmt w:val="bullet"/>
      <w:lvlText w:val="o"/>
      <w:lvlJc w:val="left"/>
      <w:pPr>
        <w:ind w:left="5760" w:hanging="360"/>
      </w:pPr>
      <w:rPr>
        <w:rFonts w:ascii="Courier New" w:hAnsi="Courier New" w:hint="default"/>
      </w:rPr>
    </w:lvl>
    <w:lvl w:ilvl="8" w:tplc="2F6CB3E4">
      <w:start w:val="1"/>
      <w:numFmt w:val="bullet"/>
      <w:lvlText w:val=""/>
      <w:lvlJc w:val="left"/>
      <w:pPr>
        <w:ind w:left="6480" w:hanging="360"/>
      </w:pPr>
      <w:rPr>
        <w:rFonts w:ascii="Wingdings" w:hAnsi="Wingdings" w:hint="default"/>
      </w:rPr>
    </w:lvl>
  </w:abstractNum>
  <w:abstractNum w:abstractNumId="8" w15:restartNumberingAfterBreak="0">
    <w:nsid w:val="29B53B25"/>
    <w:multiLevelType w:val="multilevel"/>
    <w:tmpl w:val="85464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577883"/>
    <w:multiLevelType w:val="multilevel"/>
    <w:tmpl w:val="187E1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B117FA8"/>
    <w:multiLevelType w:val="hybridMultilevel"/>
    <w:tmpl w:val="93024F02"/>
    <w:lvl w:ilvl="0" w:tplc="88187B9E">
      <w:start w:val="1"/>
      <w:numFmt w:val="bullet"/>
      <w:lvlText w:val="-"/>
      <w:lvlJc w:val="left"/>
      <w:pPr>
        <w:ind w:left="720" w:hanging="360"/>
      </w:pPr>
      <w:rPr>
        <w:rFonts w:ascii="Calibri" w:hAnsi="Calibri" w:hint="default"/>
      </w:rPr>
    </w:lvl>
    <w:lvl w:ilvl="1" w:tplc="0278FD48">
      <w:start w:val="1"/>
      <w:numFmt w:val="bullet"/>
      <w:lvlText w:val="o"/>
      <w:lvlJc w:val="left"/>
      <w:pPr>
        <w:ind w:left="1440" w:hanging="360"/>
      </w:pPr>
      <w:rPr>
        <w:rFonts w:ascii="Courier New" w:hAnsi="Courier New" w:hint="default"/>
      </w:rPr>
    </w:lvl>
    <w:lvl w:ilvl="2" w:tplc="3FBEB4CA">
      <w:start w:val="1"/>
      <w:numFmt w:val="bullet"/>
      <w:lvlText w:val=""/>
      <w:lvlJc w:val="left"/>
      <w:pPr>
        <w:ind w:left="2160" w:hanging="360"/>
      </w:pPr>
      <w:rPr>
        <w:rFonts w:ascii="Wingdings" w:hAnsi="Wingdings" w:hint="default"/>
      </w:rPr>
    </w:lvl>
    <w:lvl w:ilvl="3" w:tplc="17DE0408">
      <w:start w:val="1"/>
      <w:numFmt w:val="bullet"/>
      <w:lvlText w:val=""/>
      <w:lvlJc w:val="left"/>
      <w:pPr>
        <w:ind w:left="2880" w:hanging="360"/>
      </w:pPr>
      <w:rPr>
        <w:rFonts w:ascii="Symbol" w:hAnsi="Symbol" w:hint="default"/>
      </w:rPr>
    </w:lvl>
    <w:lvl w:ilvl="4" w:tplc="EB76C98E">
      <w:start w:val="1"/>
      <w:numFmt w:val="bullet"/>
      <w:lvlText w:val="o"/>
      <w:lvlJc w:val="left"/>
      <w:pPr>
        <w:ind w:left="3600" w:hanging="360"/>
      </w:pPr>
      <w:rPr>
        <w:rFonts w:ascii="Courier New" w:hAnsi="Courier New" w:hint="default"/>
      </w:rPr>
    </w:lvl>
    <w:lvl w:ilvl="5" w:tplc="ED6CF1FE">
      <w:start w:val="1"/>
      <w:numFmt w:val="bullet"/>
      <w:lvlText w:val=""/>
      <w:lvlJc w:val="left"/>
      <w:pPr>
        <w:ind w:left="4320" w:hanging="360"/>
      </w:pPr>
      <w:rPr>
        <w:rFonts w:ascii="Wingdings" w:hAnsi="Wingdings" w:hint="default"/>
      </w:rPr>
    </w:lvl>
    <w:lvl w:ilvl="6" w:tplc="56CAFE4A">
      <w:start w:val="1"/>
      <w:numFmt w:val="bullet"/>
      <w:lvlText w:val=""/>
      <w:lvlJc w:val="left"/>
      <w:pPr>
        <w:ind w:left="5040" w:hanging="360"/>
      </w:pPr>
      <w:rPr>
        <w:rFonts w:ascii="Symbol" w:hAnsi="Symbol" w:hint="default"/>
      </w:rPr>
    </w:lvl>
    <w:lvl w:ilvl="7" w:tplc="E738EF16">
      <w:start w:val="1"/>
      <w:numFmt w:val="bullet"/>
      <w:lvlText w:val="o"/>
      <w:lvlJc w:val="left"/>
      <w:pPr>
        <w:ind w:left="5760" w:hanging="360"/>
      </w:pPr>
      <w:rPr>
        <w:rFonts w:ascii="Courier New" w:hAnsi="Courier New" w:hint="default"/>
      </w:rPr>
    </w:lvl>
    <w:lvl w:ilvl="8" w:tplc="D6007E8A">
      <w:start w:val="1"/>
      <w:numFmt w:val="bullet"/>
      <w:lvlText w:val=""/>
      <w:lvlJc w:val="left"/>
      <w:pPr>
        <w:ind w:left="6480" w:hanging="360"/>
      </w:pPr>
      <w:rPr>
        <w:rFonts w:ascii="Wingdings" w:hAnsi="Wingdings" w:hint="default"/>
      </w:rPr>
    </w:lvl>
  </w:abstractNum>
  <w:abstractNum w:abstractNumId="11" w15:restartNumberingAfterBreak="0">
    <w:nsid w:val="309977C6"/>
    <w:multiLevelType w:val="hybridMultilevel"/>
    <w:tmpl w:val="1DF0FD64"/>
    <w:lvl w:ilvl="0" w:tplc="88E65828">
      <w:start w:val="1"/>
      <w:numFmt w:val="bullet"/>
      <w:lvlText w:val="-"/>
      <w:lvlJc w:val="left"/>
      <w:pPr>
        <w:ind w:left="720" w:hanging="360"/>
      </w:pPr>
      <w:rPr>
        <w:rFonts w:ascii="Calibri" w:hAnsi="Calibri" w:hint="default"/>
      </w:rPr>
    </w:lvl>
    <w:lvl w:ilvl="1" w:tplc="80B87312">
      <w:start w:val="1"/>
      <w:numFmt w:val="bullet"/>
      <w:lvlText w:val="o"/>
      <w:lvlJc w:val="left"/>
      <w:pPr>
        <w:ind w:left="1440" w:hanging="360"/>
      </w:pPr>
      <w:rPr>
        <w:rFonts w:ascii="Courier New" w:hAnsi="Courier New" w:hint="default"/>
      </w:rPr>
    </w:lvl>
    <w:lvl w:ilvl="2" w:tplc="F4E0F0D8">
      <w:start w:val="1"/>
      <w:numFmt w:val="bullet"/>
      <w:lvlText w:val=""/>
      <w:lvlJc w:val="left"/>
      <w:pPr>
        <w:ind w:left="2160" w:hanging="360"/>
      </w:pPr>
      <w:rPr>
        <w:rFonts w:ascii="Wingdings" w:hAnsi="Wingdings" w:hint="default"/>
      </w:rPr>
    </w:lvl>
    <w:lvl w:ilvl="3" w:tplc="484C1C86">
      <w:start w:val="1"/>
      <w:numFmt w:val="bullet"/>
      <w:lvlText w:val=""/>
      <w:lvlJc w:val="left"/>
      <w:pPr>
        <w:ind w:left="2880" w:hanging="360"/>
      </w:pPr>
      <w:rPr>
        <w:rFonts w:ascii="Symbol" w:hAnsi="Symbol" w:hint="default"/>
      </w:rPr>
    </w:lvl>
    <w:lvl w:ilvl="4" w:tplc="C8584C18">
      <w:start w:val="1"/>
      <w:numFmt w:val="bullet"/>
      <w:lvlText w:val="o"/>
      <w:lvlJc w:val="left"/>
      <w:pPr>
        <w:ind w:left="3600" w:hanging="360"/>
      </w:pPr>
      <w:rPr>
        <w:rFonts w:ascii="Courier New" w:hAnsi="Courier New" w:hint="default"/>
      </w:rPr>
    </w:lvl>
    <w:lvl w:ilvl="5" w:tplc="8D7416D0">
      <w:start w:val="1"/>
      <w:numFmt w:val="bullet"/>
      <w:lvlText w:val=""/>
      <w:lvlJc w:val="left"/>
      <w:pPr>
        <w:ind w:left="4320" w:hanging="360"/>
      </w:pPr>
      <w:rPr>
        <w:rFonts w:ascii="Wingdings" w:hAnsi="Wingdings" w:hint="default"/>
      </w:rPr>
    </w:lvl>
    <w:lvl w:ilvl="6" w:tplc="B2F03746">
      <w:start w:val="1"/>
      <w:numFmt w:val="bullet"/>
      <w:lvlText w:val=""/>
      <w:lvlJc w:val="left"/>
      <w:pPr>
        <w:ind w:left="5040" w:hanging="360"/>
      </w:pPr>
      <w:rPr>
        <w:rFonts w:ascii="Symbol" w:hAnsi="Symbol" w:hint="default"/>
      </w:rPr>
    </w:lvl>
    <w:lvl w:ilvl="7" w:tplc="0A2C812E">
      <w:start w:val="1"/>
      <w:numFmt w:val="bullet"/>
      <w:lvlText w:val="o"/>
      <w:lvlJc w:val="left"/>
      <w:pPr>
        <w:ind w:left="5760" w:hanging="360"/>
      </w:pPr>
      <w:rPr>
        <w:rFonts w:ascii="Courier New" w:hAnsi="Courier New" w:hint="default"/>
      </w:rPr>
    </w:lvl>
    <w:lvl w:ilvl="8" w:tplc="5232D2CA">
      <w:start w:val="1"/>
      <w:numFmt w:val="bullet"/>
      <w:lvlText w:val=""/>
      <w:lvlJc w:val="left"/>
      <w:pPr>
        <w:ind w:left="6480" w:hanging="360"/>
      </w:pPr>
      <w:rPr>
        <w:rFonts w:ascii="Wingdings" w:hAnsi="Wingdings" w:hint="default"/>
      </w:rPr>
    </w:lvl>
  </w:abstractNum>
  <w:abstractNum w:abstractNumId="12" w15:restartNumberingAfterBreak="0">
    <w:nsid w:val="34210BBB"/>
    <w:multiLevelType w:val="hybridMultilevel"/>
    <w:tmpl w:val="E46E1010"/>
    <w:lvl w:ilvl="0" w:tplc="3976EDF8">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60CE3E"/>
    <w:multiLevelType w:val="hybridMultilevel"/>
    <w:tmpl w:val="E768309C"/>
    <w:lvl w:ilvl="0" w:tplc="3D4A8B64">
      <w:start w:val="1"/>
      <w:numFmt w:val="bullet"/>
      <w:lvlText w:val="o"/>
      <w:lvlJc w:val="left"/>
      <w:pPr>
        <w:ind w:left="1440" w:hanging="360"/>
      </w:pPr>
      <w:rPr>
        <w:rFonts w:ascii="Courier New" w:hAnsi="Courier New" w:hint="default"/>
      </w:rPr>
    </w:lvl>
    <w:lvl w:ilvl="1" w:tplc="E236D422">
      <w:start w:val="1"/>
      <w:numFmt w:val="bullet"/>
      <w:lvlText w:val="o"/>
      <w:lvlJc w:val="left"/>
      <w:pPr>
        <w:ind w:left="1440" w:hanging="360"/>
      </w:pPr>
      <w:rPr>
        <w:rFonts w:ascii="Courier New" w:hAnsi="Courier New" w:hint="default"/>
      </w:rPr>
    </w:lvl>
    <w:lvl w:ilvl="2" w:tplc="B6E2AC4C">
      <w:start w:val="1"/>
      <w:numFmt w:val="bullet"/>
      <w:lvlText w:val=""/>
      <w:lvlJc w:val="left"/>
      <w:pPr>
        <w:ind w:left="2160" w:hanging="360"/>
      </w:pPr>
      <w:rPr>
        <w:rFonts w:ascii="Wingdings" w:hAnsi="Wingdings" w:hint="default"/>
      </w:rPr>
    </w:lvl>
    <w:lvl w:ilvl="3" w:tplc="717E8A02">
      <w:start w:val="1"/>
      <w:numFmt w:val="bullet"/>
      <w:lvlText w:val=""/>
      <w:lvlJc w:val="left"/>
      <w:pPr>
        <w:ind w:left="2880" w:hanging="360"/>
      </w:pPr>
      <w:rPr>
        <w:rFonts w:ascii="Symbol" w:hAnsi="Symbol" w:hint="default"/>
      </w:rPr>
    </w:lvl>
    <w:lvl w:ilvl="4" w:tplc="F8D0CD36">
      <w:start w:val="1"/>
      <w:numFmt w:val="bullet"/>
      <w:lvlText w:val="o"/>
      <w:lvlJc w:val="left"/>
      <w:pPr>
        <w:ind w:left="3600" w:hanging="360"/>
      </w:pPr>
      <w:rPr>
        <w:rFonts w:ascii="Courier New" w:hAnsi="Courier New" w:hint="default"/>
      </w:rPr>
    </w:lvl>
    <w:lvl w:ilvl="5" w:tplc="4F8E7324">
      <w:start w:val="1"/>
      <w:numFmt w:val="bullet"/>
      <w:lvlText w:val=""/>
      <w:lvlJc w:val="left"/>
      <w:pPr>
        <w:ind w:left="4320" w:hanging="360"/>
      </w:pPr>
      <w:rPr>
        <w:rFonts w:ascii="Wingdings" w:hAnsi="Wingdings" w:hint="default"/>
      </w:rPr>
    </w:lvl>
    <w:lvl w:ilvl="6" w:tplc="C6AA1D4C">
      <w:start w:val="1"/>
      <w:numFmt w:val="bullet"/>
      <w:lvlText w:val=""/>
      <w:lvlJc w:val="left"/>
      <w:pPr>
        <w:ind w:left="5040" w:hanging="360"/>
      </w:pPr>
      <w:rPr>
        <w:rFonts w:ascii="Symbol" w:hAnsi="Symbol" w:hint="default"/>
      </w:rPr>
    </w:lvl>
    <w:lvl w:ilvl="7" w:tplc="5BCE8532">
      <w:start w:val="1"/>
      <w:numFmt w:val="bullet"/>
      <w:lvlText w:val="o"/>
      <w:lvlJc w:val="left"/>
      <w:pPr>
        <w:ind w:left="5760" w:hanging="360"/>
      </w:pPr>
      <w:rPr>
        <w:rFonts w:ascii="Courier New" w:hAnsi="Courier New" w:hint="default"/>
      </w:rPr>
    </w:lvl>
    <w:lvl w:ilvl="8" w:tplc="6CECF572">
      <w:start w:val="1"/>
      <w:numFmt w:val="bullet"/>
      <w:lvlText w:val=""/>
      <w:lvlJc w:val="left"/>
      <w:pPr>
        <w:ind w:left="6480" w:hanging="360"/>
      </w:pPr>
      <w:rPr>
        <w:rFonts w:ascii="Wingdings" w:hAnsi="Wingdings" w:hint="default"/>
      </w:rPr>
    </w:lvl>
  </w:abstractNum>
  <w:abstractNum w:abstractNumId="14" w15:restartNumberingAfterBreak="0">
    <w:nsid w:val="3BBB2743"/>
    <w:multiLevelType w:val="hybridMultilevel"/>
    <w:tmpl w:val="CAEE8C18"/>
    <w:lvl w:ilvl="0" w:tplc="118A3662">
      <w:start w:val="1"/>
      <w:numFmt w:val="bullet"/>
      <w:lvlText w:val="•"/>
      <w:lvlJc w:val="left"/>
      <w:pPr>
        <w:tabs>
          <w:tab w:val="num" w:pos="720"/>
        </w:tabs>
        <w:ind w:left="720" w:hanging="360"/>
      </w:pPr>
      <w:rPr>
        <w:rFonts w:ascii="Arial" w:hAnsi="Arial" w:hint="default"/>
      </w:rPr>
    </w:lvl>
    <w:lvl w:ilvl="1" w:tplc="98160A62" w:tentative="1">
      <w:start w:val="1"/>
      <w:numFmt w:val="bullet"/>
      <w:lvlText w:val="•"/>
      <w:lvlJc w:val="left"/>
      <w:pPr>
        <w:tabs>
          <w:tab w:val="num" w:pos="1440"/>
        </w:tabs>
        <w:ind w:left="1440" w:hanging="360"/>
      </w:pPr>
      <w:rPr>
        <w:rFonts w:ascii="Arial" w:hAnsi="Arial" w:hint="default"/>
      </w:rPr>
    </w:lvl>
    <w:lvl w:ilvl="2" w:tplc="9F7A7CCE" w:tentative="1">
      <w:start w:val="1"/>
      <w:numFmt w:val="bullet"/>
      <w:lvlText w:val="•"/>
      <w:lvlJc w:val="left"/>
      <w:pPr>
        <w:tabs>
          <w:tab w:val="num" w:pos="2160"/>
        </w:tabs>
        <w:ind w:left="2160" w:hanging="360"/>
      </w:pPr>
      <w:rPr>
        <w:rFonts w:ascii="Arial" w:hAnsi="Arial" w:hint="default"/>
      </w:rPr>
    </w:lvl>
    <w:lvl w:ilvl="3" w:tplc="90081E86" w:tentative="1">
      <w:start w:val="1"/>
      <w:numFmt w:val="bullet"/>
      <w:lvlText w:val="•"/>
      <w:lvlJc w:val="left"/>
      <w:pPr>
        <w:tabs>
          <w:tab w:val="num" w:pos="2880"/>
        </w:tabs>
        <w:ind w:left="2880" w:hanging="360"/>
      </w:pPr>
      <w:rPr>
        <w:rFonts w:ascii="Arial" w:hAnsi="Arial" w:hint="default"/>
      </w:rPr>
    </w:lvl>
    <w:lvl w:ilvl="4" w:tplc="6E368896">
      <w:start w:val="1"/>
      <w:numFmt w:val="bullet"/>
      <w:lvlText w:val="•"/>
      <w:lvlJc w:val="left"/>
      <w:pPr>
        <w:tabs>
          <w:tab w:val="num" w:pos="3600"/>
        </w:tabs>
        <w:ind w:left="3600" w:hanging="360"/>
      </w:pPr>
      <w:rPr>
        <w:rFonts w:ascii="Arial" w:hAnsi="Arial" w:hint="default"/>
      </w:rPr>
    </w:lvl>
    <w:lvl w:ilvl="5" w:tplc="86DC4DD6" w:tentative="1">
      <w:start w:val="1"/>
      <w:numFmt w:val="bullet"/>
      <w:lvlText w:val="•"/>
      <w:lvlJc w:val="left"/>
      <w:pPr>
        <w:tabs>
          <w:tab w:val="num" w:pos="4320"/>
        </w:tabs>
        <w:ind w:left="4320" w:hanging="360"/>
      </w:pPr>
      <w:rPr>
        <w:rFonts w:ascii="Arial" w:hAnsi="Arial" w:hint="default"/>
      </w:rPr>
    </w:lvl>
    <w:lvl w:ilvl="6" w:tplc="8BFE2EAC" w:tentative="1">
      <w:start w:val="1"/>
      <w:numFmt w:val="bullet"/>
      <w:lvlText w:val="•"/>
      <w:lvlJc w:val="left"/>
      <w:pPr>
        <w:tabs>
          <w:tab w:val="num" w:pos="5040"/>
        </w:tabs>
        <w:ind w:left="5040" w:hanging="360"/>
      </w:pPr>
      <w:rPr>
        <w:rFonts w:ascii="Arial" w:hAnsi="Arial" w:hint="default"/>
      </w:rPr>
    </w:lvl>
    <w:lvl w:ilvl="7" w:tplc="C74EB274" w:tentative="1">
      <w:start w:val="1"/>
      <w:numFmt w:val="bullet"/>
      <w:lvlText w:val="•"/>
      <w:lvlJc w:val="left"/>
      <w:pPr>
        <w:tabs>
          <w:tab w:val="num" w:pos="5760"/>
        </w:tabs>
        <w:ind w:left="5760" w:hanging="360"/>
      </w:pPr>
      <w:rPr>
        <w:rFonts w:ascii="Arial" w:hAnsi="Arial" w:hint="default"/>
      </w:rPr>
    </w:lvl>
    <w:lvl w:ilvl="8" w:tplc="B50052B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149FCAE"/>
    <w:multiLevelType w:val="hybridMultilevel"/>
    <w:tmpl w:val="3BA6AB2E"/>
    <w:lvl w:ilvl="0" w:tplc="8EA6E73E">
      <w:start w:val="1"/>
      <w:numFmt w:val="bullet"/>
      <w:lvlText w:val="-"/>
      <w:lvlJc w:val="left"/>
      <w:pPr>
        <w:ind w:left="-2520" w:hanging="360"/>
      </w:pPr>
      <w:rPr>
        <w:rFonts w:ascii="Calibri" w:hAnsi="Calibri" w:hint="default"/>
      </w:rPr>
    </w:lvl>
    <w:lvl w:ilvl="1" w:tplc="E4EA878E">
      <w:start w:val="1"/>
      <w:numFmt w:val="bullet"/>
      <w:lvlText w:val="o"/>
      <w:lvlJc w:val="left"/>
      <w:pPr>
        <w:ind w:left="1440" w:hanging="360"/>
      </w:pPr>
      <w:rPr>
        <w:rFonts w:ascii="Courier New" w:hAnsi="Courier New" w:hint="default"/>
      </w:rPr>
    </w:lvl>
    <w:lvl w:ilvl="2" w:tplc="C00ADB86">
      <w:start w:val="1"/>
      <w:numFmt w:val="bullet"/>
      <w:lvlText w:val=""/>
      <w:lvlJc w:val="left"/>
      <w:pPr>
        <w:ind w:left="2160" w:hanging="360"/>
      </w:pPr>
      <w:rPr>
        <w:rFonts w:ascii="Wingdings" w:hAnsi="Wingdings" w:hint="default"/>
      </w:rPr>
    </w:lvl>
    <w:lvl w:ilvl="3" w:tplc="5812FF9E">
      <w:start w:val="1"/>
      <w:numFmt w:val="bullet"/>
      <w:lvlText w:val=""/>
      <w:lvlJc w:val="left"/>
      <w:pPr>
        <w:ind w:left="2880" w:hanging="360"/>
      </w:pPr>
      <w:rPr>
        <w:rFonts w:ascii="Symbol" w:hAnsi="Symbol" w:hint="default"/>
      </w:rPr>
    </w:lvl>
    <w:lvl w:ilvl="4" w:tplc="1C3EF36A">
      <w:start w:val="1"/>
      <w:numFmt w:val="bullet"/>
      <w:lvlText w:val="o"/>
      <w:lvlJc w:val="left"/>
      <w:pPr>
        <w:ind w:left="3600" w:hanging="360"/>
      </w:pPr>
      <w:rPr>
        <w:rFonts w:ascii="Courier New" w:hAnsi="Courier New" w:hint="default"/>
      </w:rPr>
    </w:lvl>
    <w:lvl w:ilvl="5" w:tplc="E554660A">
      <w:start w:val="1"/>
      <w:numFmt w:val="bullet"/>
      <w:lvlText w:val=""/>
      <w:lvlJc w:val="left"/>
      <w:pPr>
        <w:ind w:left="4320" w:hanging="360"/>
      </w:pPr>
      <w:rPr>
        <w:rFonts w:ascii="Wingdings" w:hAnsi="Wingdings" w:hint="default"/>
      </w:rPr>
    </w:lvl>
    <w:lvl w:ilvl="6" w:tplc="FD8A262C">
      <w:start w:val="1"/>
      <w:numFmt w:val="bullet"/>
      <w:lvlText w:val=""/>
      <w:lvlJc w:val="left"/>
      <w:pPr>
        <w:ind w:left="5040" w:hanging="360"/>
      </w:pPr>
      <w:rPr>
        <w:rFonts w:ascii="Symbol" w:hAnsi="Symbol" w:hint="default"/>
      </w:rPr>
    </w:lvl>
    <w:lvl w:ilvl="7" w:tplc="E6B449D0">
      <w:start w:val="1"/>
      <w:numFmt w:val="bullet"/>
      <w:lvlText w:val="o"/>
      <w:lvlJc w:val="left"/>
      <w:pPr>
        <w:ind w:left="5760" w:hanging="360"/>
      </w:pPr>
      <w:rPr>
        <w:rFonts w:ascii="Courier New" w:hAnsi="Courier New" w:hint="default"/>
      </w:rPr>
    </w:lvl>
    <w:lvl w:ilvl="8" w:tplc="3176D4CA">
      <w:start w:val="1"/>
      <w:numFmt w:val="bullet"/>
      <w:lvlText w:val=""/>
      <w:lvlJc w:val="left"/>
      <w:pPr>
        <w:ind w:left="6480" w:hanging="360"/>
      </w:pPr>
      <w:rPr>
        <w:rFonts w:ascii="Wingdings" w:hAnsi="Wingdings" w:hint="default"/>
      </w:rPr>
    </w:lvl>
  </w:abstractNum>
  <w:abstractNum w:abstractNumId="16" w15:restartNumberingAfterBreak="0">
    <w:nsid w:val="418E2D01"/>
    <w:multiLevelType w:val="multilevel"/>
    <w:tmpl w:val="8988B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EDAAEE1"/>
    <w:multiLevelType w:val="hybridMultilevel"/>
    <w:tmpl w:val="7DC44DA2"/>
    <w:lvl w:ilvl="0" w:tplc="9F702560">
      <w:start w:val="1"/>
      <w:numFmt w:val="bullet"/>
      <w:lvlText w:val="-"/>
      <w:lvlJc w:val="left"/>
      <w:pPr>
        <w:ind w:left="720" w:hanging="360"/>
      </w:pPr>
      <w:rPr>
        <w:rFonts w:ascii="Calibri" w:hAnsi="Calibri" w:hint="default"/>
      </w:rPr>
    </w:lvl>
    <w:lvl w:ilvl="1" w:tplc="4A38CB7C">
      <w:start w:val="1"/>
      <w:numFmt w:val="bullet"/>
      <w:lvlText w:val="o"/>
      <w:lvlJc w:val="left"/>
      <w:pPr>
        <w:ind w:left="1440" w:hanging="360"/>
      </w:pPr>
      <w:rPr>
        <w:rFonts w:ascii="Courier New" w:hAnsi="Courier New" w:hint="default"/>
      </w:rPr>
    </w:lvl>
    <w:lvl w:ilvl="2" w:tplc="E82454A0">
      <w:start w:val="1"/>
      <w:numFmt w:val="bullet"/>
      <w:lvlText w:val=""/>
      <w:lvlJc w:val="left"/>
      <w:pPr>
        <w:ind w:left="2160" w:hanging="360"/>
      </w:pPr>
      <w:rPr>
        <w:rFonts w:ascii="Wingdings" w:hAnsi="Wingdings" w:hint="default"/>
      </w:rPr>
    </w:lvl>
    <w:lvl w:ilvl="3" w:tplc="E31C2C6E">
      <w:start w:val="1"/>
      <w:numFmt w:val="bullet"/>
      <w:lvlText w:val=""/>
      <w:lvlJc w:val="left"/>
      <w:pPr>
        <w:ind w:left="2880" w:hanging="360"/>
      </w:pPr>
      <w:rPr>
        <w:rFonts w:ascii="Symbol" w:hAnsi="Symbol" w:hint="default"/>
      </w:rPr>
    </w:lvl>
    <w:lvl w:ilvl="4" w:tplc="E22A18EA">
      <w:start w:val="1"/>
      <w:numFmt w:val="bullet"/>
      <w:lvlText w:val="o"/>
      <w:lvlJc w:val="left"/>
      <w:pPr>
        <w:ind w:left="3600" w:hanging="360"/>
      </w:pPr>
      <w:rPr>
        <w:rFonts w:ascii="Courier New" w:hAnsi="Courier New" w:hint="default"/>
      </w:rPr>
    </w:lvl>
    <w:lvl w:ilvl="5" w:tplc="08C00E1C">
      <w:start w:val="1"/>
      <w:numFmt w:val="bullet"/>
      <w:lvlText w:val=""/>
      <w:lvlJc w:val="left"/>
      <w:pPr>
        <w:ind w:left="4320" w:hanging="360"/>
      </w:pPr>
      <w:rPr>
        <w:rFonts w:ascii="Wingdings" w:hAnsi="Wingdings" w:hint="default"/>
      </w:rPr>
    </w:lvl>
    <w:lvl w:ilvl="6" w:tplc="940E79EC">
      <w:start w:val="1"/>
      <w:numFmt w:val="bullet"/>
      <w:lvlText w:val=""/>
      <w:lvlJc w:val="left"/>
      <w:pPr>
        <w:ind w:left="5040" w:hanging="360"/>
      </w:pPr>
      <w:rPr>
        <w:rFonts w:ascii="Symbol" w:hAnsi="Symbol" w:hint="default"/>
      </w:rPr>
    </w:lvl>
    <w:lvl w:ilvl="7" w:tplc="AD6A3104">
      <w:start w:val="1"/>
      <w:numFmt w:val="bullet"/>
      <w:lvlText w:val="o"/>
      <w:lvlJc w:val="left"/>
      <w:pPr>
        <w:ind w:left="5760" w:hanging="360"/>
      </w:pPr>
      <w:rPr>
        <w:rFonts w:ascii="Courier New" w:hAnsi="Courier New" w:hint="default"/>
      </w:rPr>
    </w:lvl>
    <w:lvl w:ilvl="8" w:tplc="EF2030F8">
      <w:start w:val="1"/>
      <w:numFmt w:val="bullet"/>
      <w:lvlText w:val=""/>
      <w:lvlJc w:val="left"/>
      <w:pPr>
        <w:ind w:left="6480" w:hanging="360"/>
      </w:pPr>
      <w:rPr>
        <w:rFonts w:ascii="Wingdings" w:hAnsi="Wingdings" w:hint="default"/>
      </w:rPr>
    </w:lvl>
  </w:abstractNum>
  <w:abstractNum w:abstractNumId="18" w15:restartNumberingAfterBreak="0">
    <w:nsid w:val="518BB18B"/>
    <w:multiLevelType w:val="hybridMultilevel"/>
    <w:tmpl w:val="D3C84D0E"/>
    <w:lvl w:ilvl="0" w:tplc="A93A8448">
      <w:start w:val="1"/>
      <w:numFmt w:val="bullet"/>
      <w:lvlText w:val="-"/>
      <w:lvlJc w:val="left"/>
      <w:pPr>
        <w:ind w:left="720" w:hanging="360"/>
      </w:pPr>
      <w:rPr>
        <w:rFonts w:ascii="Calibri" w:hAnsi="Calibri" w:hint="default"/>
      </w:rPr>
    </w:lvl>
    <w:lvl w:ilvl="1" w:tplc="2530F846">
      <w:start w:val="1"/>
      <w:numFmt w:val="bullet"/>
      <w:lvlText w:val="o"/>
      <w:lvlJc w:val="left"/>
      <w:pPr>
        <w:ind w:left="1440" w:hanging="360"/>
      </w:pPr>
      <w:rPr>
        <w:rFonts w:ascii="Courier New" w:hAnsi="Courier New" w:hint="default"/>
      </w:rPr>
    </w:lvl>
    <w:lvl w:ilvl="2" w:tplc="47724330">
      <w:start w:val="1"/>
      <w:numFmt w:val="bullet"/>
      <w:lvlText w:val=""/>
      <w:lvlJc w:val="left"/>
      <w:pPr>
        <w:ind w:left="2160" w:hanging="360"/>
      </w:pPr>
      <w:rPr>
        <w:rFonts w:ascii="Wingdings" w:hAnsi="Wingdings" w:hint="default"/>
      </w:rPr>
    </w:lvl>
    <w:lvl w:ilvl="3" w:tplc="090C5676">
      <w:start w:val="1"/>
      <w:numFmt w:val="bullet"/>
      <w:lvlText w:val=""/>
      <w:lvlJc w:val="left"/>
      <w:pPr>
        <w:ind w:left="2880" w:hanging="360"/>
      </w:pPr>
      <w:rPr>
        <w:rFonts w:ascii="Symbol" w:hAnsi="Symbol" w:hint="default"/>
      </w:rPr>
    </w:lvl>
    <w:lvl w:ilvl="4" w:tplc="4FB2DE4E">
      <w:start w:val="1"/>
      <w:numFmt w:val="bullet"/>
      <w:lvlText w:val="o"/>
      <w:lvlJc w:val="left"/>
      <w:pPr>
        <w:ind w:left="3600" w:hanging="360"/>
      </w:pPr>
      <w:rPr>
        <w:rFonts w:ascii="Courier New" w:hAnsi="Courier New" w:hint="default"/>
      </w:rPr>
    </w:lvl>
    <w:lvl w:ilvl="5" w:tplc="02082AC2">
      <w:start w:val="1"/>
      <w:numFmt w:val="bullet"/>
      <w:lvlText w:val=""/>
      <w:lvlJc w:val="left"/>
      <w:pPr>
        <w:ind w:left="4320" w:hanging="360"/>
      </w:pPr>
      <w:rPr>
        <w:rFonts w:ascii="Wingdings" w:hAnsi="Wingdings" w:hint="default"/>
      </w:rPr>
    </w:lvl>
    <w:lvl w:ilvl="6" w:tplc="A7EC9FE8">
      <w:start w:val="1"/>
      <w:numFmt w:val="bullet"/>
      <w:lvlText w:val=""/>
      <w:lvlJc w:val="left"/>
      <w:pPr>
        <w:ind w:left="5040" w:hanging="360"/>
      </w:pPr>
      <w:rPr>
        <w:rFonts w:ascii="Symbol" w:hAnsi="Symbol" w:hint="default"/>
      </w:rPr>
    </w:lvl>
    <w:lvl w:ilvl="7" w:tplc="F7BC8692">
      <w:start w:val="1"/>
      <w:numFmt w:val="bullet"/>
      <w:lvlText w:val="o"/>
      <w:lvlJc w:val="left"/>
      <w:pPr>
        <w:ind w:left="5760" w:hanging="360"/>
      </w:pPr>
      <w:rPr>
        <w:rFonts w:ascii="Courier New" w:hAnsi="Courier New" w:hint="default"/>
      </w:rPr>
    </w:lvl>
    <w:lvl w:ilvl="8" w:tplc="1E5AD2E4">
      <w:start w:val="1"/>
      <w:numFmt w:val="bullet"/>
      <w:lvlText w:val=""/>
      <w:lvlJc w:val="left"/>
      <w:pPr>
        <w:ind w:left="6480" w:hanging="360"/>
      </w:pPr>
      <w:rPr>
        <w:rFonts w:ascii="Wingdings" w:hAnsi="Wingdings" w:hint="default"/>
      </w:rPr>
    </w:lvl>
  </w:abstractNum>
  <w:abstractNum w:abstractNumId="19" w15:restartNumberingAfterBreak="0">
    <w:nsid w:val="55DD4882"/>
    <w:multiLevelType w:val="multilevel"/>
    <w:tmpl w:val="C7966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B94E27"/>
    <w:multiLevelType w:val="multilevel"/>
    <w:tmpl w:val="CC50A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EE07A53"/>
    <w:multiLevelType w:val="multilevel"/>
    <w:tmpl w:val="0F20A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05F77BD"/>
    <w:multiLevelType w:val="hybridMultilevel"/>
    <w:tmpl w:val="B686E27A"/>
    <w:lvl w:ilvl="0" w:tplc="0D0A8E38">
      <w:start w:val="1"/>
      <w:numFmt w:val="bullet"/>
      <w:lvlText w:val="•"/>
      <w:lvlJc w:val="left"/>
      <w:pPr>
        <w:tabs>
          <w:tab w:val="num" w:pos="720"/>
        </w:tabs>
        <w:ind w:left="720" w:hanging="360"/>
      </w:pPr>
      <w:rPr>
        <w:rFonts w:ascii="Arial" w:hAnsi="Arial" w:hint="default"/>
      </w:rPr>
    </w:lvl>
    <w:lvl w:ilvl="1" w:tplc="71740FD2" w:tentative="1">
      <w:start w:val="1"/>
      <w:numFmt w:val="bullet"/>
      <w:lvlText w:val="•"/>
      <w:lvlJc w:val="left"/>
      <w:pPr>
        <w:tabs>
          <w:tab w:val="num" w:pos="1440"/>
        </w:tabs>
        <w:ind w:left="1440" w:hanging="360"/>
      </w:pPr>
      <w:rPr>
        <w:rFonts w:ascii="Arial" w:hAnsi="Arial" w:hint="default"/>
      </w:rPr>
    </w:lvl>
    <w:lvl w:ilvl="2" w:tplc="6150B4F4" w:tentative="1">
      <w:start w:val="1"/>
      <w:numFmt w:val="bullet"/>
      <w:lvlText w:val="•"/>
      <w:lvlJc w:val="left"/>
      <w:pPr>
        <w:tabs>
          <w:tab w:val="num" w:pos="2160"/>
        </w:tabs>
        <w:ind w:left="2160" w:hanging="360"/>
      </w:pPr>
      <w:rPr>
        <w:rFonts w:ascii="Arial" w:hAnsi="Arial" w:hint="default"/>
      </w:rPr>
    </w:lvl>
    <w:lvl w:ilvl="3" w:tplc="920C77E0" w:tentative="1">
      <w:start w:val="1"/>
      <w:numFmt w:val="bullet"/>
      <w:lvlText w:val="•"/>
      <w:lvlJc w:val="left"/>
      <w:pPr>
        <w:tabs>
          <w:tab w:val="num" w:pos="2880"/>
        </w:tabs>
        <w:ind w:left="2880" w:hanging="360"/>
      </w:pPr>
      <w:rPr>
        <w:rFonts w:ascii="Arial" w:hAnsi="Arial" w:hint="default"/>
      </w:rPr>
    </w:lvl>
    <w:lvl w:ilvl="4" w:tplc="27B80C26">
      <w:start w:val="1"/>
      <w:numFmt w:val="bullet"/>
      <w:lvlText w:val="•"/>
      <w:lvlJc w:val="left"/>
      <w:pPr>
        <w:tabs>
          <w:tab w:val="num" w:pos="3600"/>
        </w:tabs>
        <w:ind w:left="3600" w:hanging="360"/>
      </w:pPr>
      <w:rPr>
        <w:rFonts w:ascii="Arial" w:hAnsi="Arial" w:hint="default"/>
      </w:rPr>
    </w:lvl>
    <w:lvl w:ilvl="5" w:tplc="4D648C8C" w:tentative="1">
      <w:start w:val="1"/>
      <w:numFmt w:val="bullet"/>
      <w:lvlText w:val="•"/>
      <w:lvlJc w:val="left"/>
      <w:pPr>
        <w:tabs>
          <w:tab w:val="num" w:pos="4320"/>
        </w:tabs>
        <w:ind w:left="4320" w:hanging="360"/>
      </w:pPr>
      <w:rPr>
        <w:rFonts w:ascii="Arial" w:hAnsi="Arial" w:hint="default"/>
      </w:rPr>
    </w:lvl>
    <w:lvl w:ilvl="6" w:tplc="4244790A" w:tentative="1">
      <w:start w:val="1"/>
      <w:numFmt w:val="bullet"/>
      <w:lvlText w:val="•"/>
      <w:lvlJc w:val="left"/>
      <w:pPr>
        <w:tabs>
          <w:tab w:val="num" w:pos="5040"/>
        </w:tabs>
        <w:ind w:left="5040" w:hanging="360"/>
      </w:pPr>
      <w:rPr>
        <w:rFonts w:ascii="Arial" w:hAnsi="Arial" w:hint="default"/>
      </w:rPr>
    </w:lvl>
    <w:lvl w:ilvl="7" w:tplc="F5A6820C" w:tentative="1">
      <w:start w:val="1"/>
      <w:numFmt w:val="bullet"/>
      <w:lvlText w:val="•"/>
      <w:lvlJc w:val="left"/>
      <w:pPr>
        <w:tabs>
          <w:tab w:val="num" w:pos="5760"/>
        </w:tabs>
        <w:ind w:left="5760" w:hanging="360"/>
      </w:pPr>
      <w:rPr>
        <w:rFonts w:ascii="Arial" w:hAnsi="Arial" w:hint="default"/>
      </w:rPr>
    </w:lvl>
    <w:lvl w:ilvl="8" w:tplc="77846EA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208BEE1"/>
    <w:multiLevelType w:val="hybridMultilevel"/>
    <w:tmpl w:val="01FA2E5E"/>
    <w:lvl w:ilvl="0" w:tplc="422297AA">
      <w:start w:val="1"/>
      <w:numFmt w:val="bullet"/>
      <w:lvlText w:val="-"/>
      <w:lvlJc w:val="left"/>
      <w:pPr>
        <w:ind w:left="720" w:hanging="360"/>
      </w:pPr>
      <w:rPr>
        <w:rFonts w:ascii="Calibri" w:hAnsi="Calibri" w:hint="default"/>
      </w:rPr>
    </w:lvl>
    <w:lvl w:ilvl="1" w:tplc="E402C466">
      <w:start w:val="1"/>
      <w:numFmt w:val="bullet"/>
      <w:lvlText w:val="o"/>
      <w:lvlJc w:val="left"/>
      <w:pPr>
        <w:ind w:left="1440" w:hanging="360"/>
      </w:pPr>
      <w:rPr>
        <w:rFonts w:ascii="Courier New" w:hAnsi="Courier New" w:hint="default"/>
      </w:rPr>
    </w:lvl>
    <w:lvl w:ilvl="2" w:tplc="1CE01BC6">
      <w:start w:val="1"/>
      <w:numFmt w:val="bullet"/>
      <w:lvlText w:val=""/>
      <w:lvlJc w:val="left"/>
      <w:pPr>
        <w:ind w:left="2160" w:hanging="360"/>
      </w:pPr>
      <w:rPr>
        <w:rFonts w:ascii="Wingdings" w:hAnsi="Wingdings" w:hint="default"/>
      </w:rPr>
    </w:lvl>
    <w:lvl w:ilvl="3" w:tplc="00A4DDDC">
      <w:start w:val="1"/>
      <w:numFmt w:val="bullet"/>
      <w:lvlText w:val=""/>
      <w:lvlJc w:val="left"/>
      <w:pPr>
        <w:ind w:left="2880" w:hanging="360"/>
      </w:pPr>
      <w:rPr>
        <w:rFonts w:ascii="Symbol" w:hAnsi="Symbol" w:hint="default"/>
      </w:rPr>
    </w:lvl>
    <w:lvl w:ilvl="4" w:tplc="EB5CDB2C">
      <w:start w:val="1"/>
      <w:numFmt w:val="bullet"/>
      <w:lvlText w:val="o"/>
      <w:lvlJc w:val="left"/>
      <w:pPr>
        <w:ind w:left="3600" w:hanging="360"/>
      </w:pPr>
      <w:rPr>
        <w:rFonts w:ascii="Courier New" w:hAnsi="Courier New" w:hint="default"/>
      </w:rPr>
    </w:lvl>
    <w:lvl w:ilvl="5" w:tplc="AF18AF88">
      <w:start w:val="1"/>
      <w:numFmt w:val="bullet"/>
      <w:lvlText w:val=""/>
      <w:lvlJc w:val="left"/>
      <w:pPr>
        <w:ind w:left="4320" w:hanging="360"/>
      </w:pPr>
      <w:rPr>
        <w:rFonts w:ascii="Wingdings" w:hAnsi="Wingdings" w:hint="default"/>
      </w:rPr>
    </w:lvl>
    <w:lvl w:ilvl="6" w:tplc="7E4A4CBA">
      <w:start w:val="1"/>
      <w:numFmt w:val="bullet"/>
      <w:lvlText w:val=""/>
      <w:lvlJc w:val="left"/>
      <w:pPr>
        <w:ind w:left="5040" w:hanging="360"/>
      </w:pPr>
      <w:rPr>
        <w:rFonts w:ascii="Symbol" w:hAnsi="Symbol" w:hint="default"/>
      </w:rPr>
    </w:lvl>
    <w:lvl w:ilvl="7" w:tplc="F408830A">
      <w:start w:val="1"/>
      <w:numFmt w:val="bullet"/>
      <w:lvlText w:val="o"/>
      <w:lvlJc w:val="left"/>
      <w:pPr>
        <w:ind w:left="5760" w:hanging="360"/>
      </w:pPr>
      <w:rPr>
        <w:rFonts w:ascii="Courier New" w:hAnsi="Courier New" w:hint="default"/>
      </w:rPr>
    </w:lvl>
    <w:lvl w:ilvl="8" w:tplc="AAF87AE0">
      <w:start w:val="1"/>
      <w:numFmt w:val="bullet"/>
      <w:lvlText w:val=""/>
      <w:lvlJc w:val="left"/>
      <w:pPr>
        <w:ind w:left="6480" w:hanging="360"/>
      </w:pPr>
      <w:rPr>
        <w:rFonts w:ascii="Wingdings" w:hAnsi="Wingdings" w:hint="default"/>
      </w:rPr>
    </w:lvl>
  </w:abstractNum>
  <w:abstractNum w:abstractNumId="24" w15:restartNumberingAfterBreak="0">
    <w:nsid w:val="64C514B6"/>
    <w:multiLevelType w:val="hybridMultilevel"/>
    <w:tmpl w:val="CCCE8828"/>
    <w:lvl w:ilvl="0" w:tplc="715E9A4E">
      <w:start w:val="1"/>
      <w:numFmt w:val="bullet"/>
      <w:lvlText w:val="-"/>
      <w:lvlJc w:val="left"/>
      <w:pPr>
        <w:ind w:left="720" w:hanging="360"/>
      </w:pPr>
      <w:rPr>
        <w:rFonts w:ascii="Aptos" w:hAnsi="Aptos" w:hint="default"/>
      </w:rPr>
    </w:lvl>
    <w:lvl w:ilvl="1" w:tplc="084CA2A2">
      <w:numFmt w:val="bullet"/>
      <w:lvlText w:val="•"/>
      <w:lvlJc w:val="left"/>
      <w:pPr>
        <w:ind w:left="1800" w:hanging="720"/>
      </w:pPr>
      <w:rPr>
        <w:rFonts w:ascii="Aptos" w:eastAsiaTheme="minorHAnsi" w:hAnsi="Aptos"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0519EA"/>
    <w:multiLevelType w:val="multilevel"/>
    <w:tmpl w:val="B588D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C02294C"/>
    <w:multiLevelType w:val="hybridMultilevel"/>
    <w:tmpl w:val="2EB8D76A"/>
    <w:lvl w:ilvl="0" w:tplc="B9E64FAA">
      <w:start w:val="1"/>
      <w:numFmt w:val="bullet"/>
      <w:lvlText w:val="-"/>
      <w:lvlJc w:val="left"/>
      <w:pPr>
        <w:ind w:left="720" w:hanging="360"/>
      </w:pPr>
      <w:rPr>
        <w:rFonts w:ascii="Calibri" w:hAnsi="Calibri" w:hint="default"/>
      </w:rPr>
    </w:lvl>
    <w:lvl w:ilvl="1" w:tplc="94EEFE9A">
      <w:start w:val="1"/>
      <w:numFmt w:val="bullet"/>
      <w:lvlText w:val="o"/>
      <w:lvlJc w:val="left"/>
      <w:pPr>
        <w:ind w:left="1440" w:hanging="360"/>
      </w:pPr>
      <w:rPr>
        <w:rFonts w:ascii="Courier New" w:hAnsi="Courier New" w:hint="default"/>
      </w:rPr>
    </w:lvl>
    <w:lvl w:ilvl="2" w:tplc="1AC68598">
      <w:start w:val="1"/>
      <w:numFmt w:val="bullet"/>
      <w:lvlText w:val=""/>
      <w:lvlJc w:val="left"/>
      <w:pPr>
        <w:ind w:left="2160" w:hanging="360"/>
      </w:pPr>
      <w:rPr>
        <w:rFonts w:ascii="Wingdings" w:hAnsi="Wingdings" w:hint="default"/>
      </w:rPr>
    </w:lvl>
    <w:lvl w:ilvl="3" w:tplc="915E63E6">
      <w:start w:val="1"/>
      <w:numFmt w:val="bullet"/>
      <w:lvlText w:val=""/>
      <w:lvlJc w:val="left"/>
      <w:pPr>
        <w:ind w:left="2880" w:hanging="360"/>
      </w:pPr>
      <w:rPr>
        <w:rFonts w:ascii="Symbol" w:hAnsi="Symbol" w:hint="default"/>
      </w:rPr>
    </w:lvl>
    <w:lvl w:ilvl="4" w:tplc="0BFC1D32">
      <w:start w:val="1"/>
      <w:numFmt w:val="bullet"/>
      <w:lvlText w:val="o"/>
      <w:lvlJc w:val="left"/>
      <w:pPr>
        <w:ind w:left="3600" w:hanging="360"/>
      </w:pPr>
      <w:rPr>
        <w:rFonts w:ascii="Courier New" w:hAnsi="Courier New" w:hint="default"/>
      </w:rPr>
    </w:lvl>
    <w:lvl w:ilvl="5" w:tplc="48E60724">
      <w:start w:val="1"/>
      <w:numFmt w:val="bullet"/>
      <w:lvlText w:val=""/>
      <w:lvlJc w:val="left"/>
      <w:pPr>
        <w:ind w:left="4320" w:hanging="360"/>
      </w:pPr>
      <w:rPr>
        <w:rFonts w:ascii="Wingdings" w:hAnsi="Wingdings" w:hint="default"/>
      </w:rPr>
    </w:lvl>
    <w:lvl w:ilvl="6" w:tplc="5590C5B0">
      <w:start w:val="1"/>
      <w:numFmt w:val="bullet"/>
      <w:lvlText w:val=""/>
      <w:lvlJc w:val="left"/>
      <w:pPr>
        <w:ind w:left="5040" w:hanging="360"/>
      </w:pPr>
      <w:rPr>
        <w:rFonts w:ascii="Symbol" w:hAnsi="Symbol" w:hint="default"/>
      </w:rPr>
    </w:lvl>
    <w:lvl w:ilvl="7" w:tplc="AC26B800">
      <w:start w:val="1"/>
      <w:numFmt w:val="bullet"/>
      <w:lvlText w:val="o"/>
      <w:lvlJc w:val="left"/>
      <w:pPr>
        <w:ind w:left="5760" w:hanging="360"/>
      </w:pPr>
      <w:rPr>
        <w:rFonts w:ascii="Courier New" w:hAnsi="Courier New" w:hint="default"/>
      </w:rPr>
    </w:lvl>
    <w:lvl w:ilvl="8" w:tplc="4E6052F6">
      <w:start w:val="1"/>
      <w:numFmt w:val="bullet"/>
      <w:lvlText w:val=""/>
      <w:lvlJc w:val="left"/>
      <w:pPr>
        <w:ind w:left="6480" w:hanging="360"/>
      </w:pPr>
      <w:rPr>
        <w:rFonts w:ascii="Wingdings" w:hAnsi="Wingdings" w:hint="default"/>
      </w:rPr>
    </w:lvl>
  </w:abstractNum>
  <w:num w:numId="1" w16cid:durableId="367412894">
    <w:abstractNumId w:val="5"/>
  </w:num>
  <w:num w:numId="2" w16cid:durableId="309872038">
    <w:abstractNumId w:val="10"/>
  </w:num>
  <w:num w:numId="3" w16cid:durableId="1863123808">
    <w:abstractNumId w:val="7"/>
  </w:num>
  <w:num w:numId="4" w16cid:durableId="1346401810">
    <w:abstractNumId w:val="18"/>
  </w:num>
  <w:num w:numId="5" w16cid:durableId="527182016">
    <w:abstractNumId w:val="3"/>
  </w:num>
  <w:num w:numId="6" w16cid:durableId="1345088175">
    <w:abstractNumId w:val="26"/>
  </w:num>
  <w:num w:numId="7" w16cid:durableId="54478784">
    <w:abstractNumId w:val="11"/>
  </w:num>
  <w:num w:numId="8" w16cid:durableId="466318346">
    <w:abstractNumId w:val="2"/>
  </w:num>
  <w:num w:numId="9" w16cid:durableId="198443551">
    <w:abstractNumId w:val="6"/>
  </w:num>
  <w:num w:numId="10" w16cid:durableId="127825690">
    <w:abstractNumId w:val="17"/>
  </w:num>
  <w:num w:numId="11" w16cid:durableId="1955751539">
    <w:abstractNumId w:val="23"/>
  </w:num>
  <w:num w:numId="12" w16cid:durableId="122312438">
    <w:abstractNumId w:val="13"/>
  </w:num>
  <w:num w:numId="13" w16cid:durableId="2113477766">
    <w:abstractNumId w:val="15"/>
  </w:num>
  <w:num w:numId="14" w16cid:durableId="1082604561">
    <w:abstractNumId w:val="12"/>
  </w:num>
  <w:num w:numId="15" w16cid:durableId="918637473">
    <w:abstractNumId w:val="25"/>
  </w:num>
  <w:num w:numId="16" w16cid:durableId="1130436484">
    <w:abstractNumId w:val="21"/>
  </w:num>
  <w:num w:numId="17" w16cid:durableId="1132865183">
    <w:abstractNumId w:val="16"/>
  </w:num>
  <w:num w:numId="18" w16cid:durableId="1038969254">
    <w:abstractNumId w:val="4"/>
  </w:num>
  <w:num w:numId="19" w16cid:durableId="2087799982">
    <w:abstractNumId w:val="9"/>
  </w:num>
  <w:num w:numId="20" w16cid:durableId="1172333548">
    <w:abstractNumId w:val="19"/>
  </w:num>
  <w:num w:numId="21" w16cid:durableId="908925365">
    <w:abstractNumId w:val="20"/>
  </w:num>
  <w:num w:numId="22" w16cid:durableId="1857501610">
    <w:abstractNumId w:val="8"/>
  </w:num>
  <w:num w:numId="23" w16cid:durableId="334848253">
    <w:abstractNumId w:val="22"/>
  </w:num>
  <w:num w:numId="24" w16cid:durableId="1840463803">
    <w:abstractNumId w:val="14"/>
  </w:num>
  <w:num w:numId="25" w16cid:durableId="1703432708">
    <w:abstractNumId w:val="0"/>
  </w:num>
  <w:num w:numId="26" w16cid:durableId="131888">
    <w:abstractNumId w:val="1"/>
  </w:num>
  <w:num w:numId="27" w16cid:durableId="191230665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C01"/>
    <w:rsid w:val="000135B4"/>
    <w:rsid w:val="00044E9C"/>
    <w:rsid w:val="000C4489"/>
    <w:rsid w:val="000F55F9"/>
    <w:rsid w:val="002436F8"/>
    <w:rsid w:val="00245C01"/>
    <w:rsid w:val="00255427"/>
    <w:rsid w:val="0026556A"/>
    <w:rsid w:val="002B06E8"/>
    <w:rsid w:val="002B4155"/>
    <w:rsid w:val="002D549E"/>
    <w:rsid w:val="00304D70"/>
    <w:rsid w:val="00340284"/>
    <w:rsid w:val="0034059A"/>
    <w:rsid w:val="00371610"/>
    <w:rsid w:val="00372B17"/>
    <w:rsid w:val="003800CD"/>
    <w:rsid w:val="00382D0A"/>
    <w:rsid w:val="0041026F"/>
    <w:rsid w:val="00446336"/>
    <w:rsid w:val="00464D44"/>
    <w:rsid w:val="004C164B"/>
    <w:rsid w:val="004F2A10"/>
    <w:rsid w:val="00523E72"/>
    <w:rsid w:val="00546D2A"/>
    <w:rsid w:val="0056216A"/>
    <w:rsid w:val="0056320F"/>
    <w:rsid w:val="00681651"/>
    <w:rsid w:val="00700687"/>
    <w:rsid w:val="00780BEF"/>
    <w:rsid w:val="007A6850"/>
    <w:rsid w:val="007E5529"/>
    <w:rsid w:val="007F26F6"/>
    <w:rsid w:val="007F7A06"/>
    <w:rsid w:val="00831D9F"/>
    <w:rsid w:val="00875285"/>
    <w:rsid w:val="008777A4"/>
    <w:rsid w:val="00916015"/>
    <w:rsid w:val="0094697C"/>
    <w:rsid w:val="009529D9"/>
    <w:rsid w:val="0096731D"/>
    <w:rsid w:val="00977EB7"/>
    <w:rsid w:val="009A0680"/>
    <w:rsid w:val="009A6C54"/>
    <w:rsid w:val="00A05940"/>
    <w:rsid w:val="00A42E32"/>
    <w:rsid w:val="00A836C0"/>
    <w:rsid w:val="00AB0FCF"/>
    <w:rsid w:val="00AB7CD1"/>
    <w:rsid w:val="00B327B2"/>
    <w:rsid w:val="00B44D6F"/>
    <w:rsid w:val="00BC4C90"/>
    <w:rsid w:val="00DD4869"/>
    <w:rsid w:val="00DF4DE7"/>
    <w:rsid w:val="00DF5334"/>
    <w:rsid w:val="00DF5AC6"/>
    <w:rsid w:val="00E5114B"/>
    <w:rsid w:val="00E9480B"/>
    <w:rsid w:val="00ED2404"/>
    <w:rsid w:val="00EF31E5"/>
    <w:rsid w:val="00F5432F"/>
    <w:rsid w:val="00F5611D"/>
    <w:rsid w:val="00F75C83"/>
    <w:rsid w:val="04885EDD"/>
    <w:rsid w:val="14542A70"/>
    <w:rsid w:val="1EFCA355"/>
    <w:rsid w:val="20A740C6"/>
    <w:rsid w:val="25FDC05D"/>
    <w:rsid w:val="267A1307"/>
    <w:rsid w:val="2BF9F9C1"/>
    <w:rsid w:val="2C615F48"/>
    <w:rsid w:val="2E41E56C"/>
    <w:rsid w:val="2F5FE872"/>
    <w:rsid w:val="30553CD3"/>
    <w:rsid w:val="3820007B"/>
    <w:rsid w:val="3A11B581"/>
    <w:rsid w:val="3C955D8B"/>
    <w:rsid w:val="43C5FA4C"/>
    <w:rsid w:val="455962B7"/>
    <w:rsid w:val="4C30E61A"/>
    <w:rsid w:val="57C000F1"/>
    <w:rsid w:val="5921C45B"/>
    <w:rsid w:val="5C7B82CB"/>
    <w:rsid w:val="61839EE0"/>
    <w:rsid w:val="6232D868"/>
    <w:rsid w:val="6AB0B28F"/>
    <w:rsid w:val="6B4AA8C6"/>
    <w:rsid w:val="6B74F79B"/>
    <w:rsid w:val="6CB77AA6"/>
    <w:rsid w:val="731138B3"/>
    <w:rsid w:val="749D1A65"/>
    <w:rsid w:val="766392DF"/>
    <w:rsid w:val="76951B88"/>
    <w:rsid w:val="776EC62F"/>
    <w:rsid w:val="77AD6D6C"/>
    <w:rsid w:val="79713DB2"/>
    <w:rsid w:val="7F9774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34466"/>
  <w15:chartTrackingRefBased/>
  <w15:docId w15:val="{FC1813DA-816E-4302-9F45-93BF70F74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5C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45C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45C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45C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5C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5C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5C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5C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5C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5C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45C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45C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245C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5C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5C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5C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5C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5C01"/>
    <w:rPr>
      <w:rFonts w:eastAsiaTheme="majorEastAsia" w:cstheme="majorBidi"/>
      <w:color w:val="272727" w:themeColor="text1" w:themeTint="D8"/>
    </w:rPr>
  </w:style>
  <w:style w:type="paragraph" w:styleId="Title">
    <w:name w:val="Title"/>
    <w:basedOn w:val="Normal"/>
    <w:next w:val="Normal"/>
    <w:link w:val="TitleChar"/>
    <w:uiPriority w:val="10"/>
    <w:qFormat/>
    <w:rsid w:val="00245C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5C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5C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5C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5C01"/>
    <w:pPr>
      <w:spacing w:before="160"/>
      <w:jc w:val="center"/>
    </w:pPr>
    <w:rPr>
      <w:i/>
      <w:iCs/>
      <w:color w:val="404040" w:themeColor="text1" w:themeTint="BF"/>
    </w:rPr>
  </w:style>
  <w:style w:type="character" w:customStyle="1" w:styleId="QuoteChar">
    <w:name w:val="Quote Char"/>
    <w:basedOn w:val="DefaultParagraphFont"/>
    <w:link w:val="Quote"/>
    <w:uiPriority w:val="29"/>
    <w:rsid w:val="00245C01"/>
    <w:rPr>
      <w:i/>
      <w:iCs/>
      <w:color w:val="404040" w:themeColor="text1" w:themeTint="BF"/>
    </w:rPr>
  </w:style>
  <w:style w:type="paragraph" w:styleId="ListParagraph">
    <w:name w:val="List Paragraph"/>
    <w:basedOn w:val="Normal"/>
    <w:uiPriority w:val="34"/>
    <w:qFormat/>
    <w:rsid w:val="00245C01"/>
    <w:pPr>
      <w:ind w:left="720"/>
      <w:contextualSpacing/>
    </w:pPr>
  </w:style>
  <w:style w:type="character" w:styleId="IntenseEmphasis">
    <w:name w:val="Intense Emphasis"/>
    <w:basedOn w:val="DefaultParagraphFont"/>
    <w:uiPriority w:val="21"/>
    <w:qFormat/>
    <w:rsid w:val="00245C01"/>
    <w:rPr>
      <w:i/>
      <w:iCs/>
      <w:color w:val="0F4761" w:themeColor="accent1" w:themeShade="BF"/>
    </w:rPr>
  </w:style>
  <w:style w:type="paragraph" w:styleId="IntenseQuote">
    <w:name w:val="Intense Quote"/>
    <w:basedOn w:val="Normal"/>
    <w:next w:val="Normal"/>
    <w:link w:val="IntenseQuoteChar"/>
    <w:uiPriority w:val="30"/>
    <w:qFormat/>
    <w:rsid w:val="00245C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5C01"/>
    <w:rPr>
      <w:i/>
      <w:iCs/>
      <w:color w:val="0F4761" w:themeColor="accent1" w:themeShade="BF"/>
    </w:rPr>
  </w:style>
  <w:style w:type="character" w:styleId="IntenseReference">
    <w:name w:val="Intense Reference"/>
    <w:basedOn w:val="DefaultParagraphFont"/>
    <w:uiPriority w:val="32"/>
    <w:qFormat/>
    <w:rsid w:val="00245C01"/>
    <w:rPr>
      <w:b/>
      <w:bCs/>
      <w:smallCaps/>
      <w:color w:val="0F4761" w:themeColor="accent1" w:themeShade="BF"/>
      <w:spacing w:val="5"/>
    </w:rPr>
  </w:style>
  <w:style w:type="paragraph" w:styleId="NoSpacing">
    <w:name w:val="No Spacing"/>
    <w:uiPriority w:val="1"/>
    <w:qFormat/>
    <w:rsid w:val="009A0680"/>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ndnoteReference">
    <w:name w:val="endnote reference"/>
    <w:basedOn w:val="DefaultParagraphFont"/>
    <w:uiPriority w:val="99"/>
    <w:semiHidden/>
    <w:unhideWhenUsed/>
    <w:rPr>
      <w:vertAlign w:val="superscript"/>
    </w:rPr>
  </w:style>
  <w:style w:type="character" w:customStyle="1" w:styleId="EndnoteTextChar">
    <w:name w:val="Endnote Text Char"/>
    <w:basedOn w:val="DefaultParagraphFont"/>
    <w:link w:val="EndnoteText"/>
    <w:uiPriority w:val="99"/>
    <w:semiHidden/>
    <w:rPr>
      <w:sz w:val="20"/>
      <w:szCs w:val="20"/>
    </w:rPr>
  </w:style>
  <w:style w:type="paragraph" w:styleId="EndnoteText">
    <w:name w:val="endnote text"/>
    <w:basedOn w:val="Normal"/>
    <w:link w:val="EndnoteTextChar"/>
    <w:uiPriority w:val="99"/>
    <w:semiHidden/>
    <w:unhideWhenUsed/>
    <w:pPr>
      <w:spacing w:after="0" w:line="240" w:lineRule="auto"/>
    </w:pPr>
    <w:rPr>
      <w:sz w:val="20"/>
      <w:szCs w:val="2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FootnoteText">
    <w:name w:val="footnote text"/>
    <w:basedOn w:val="Normal"/>
    <w:link w:val="FootnoteTextChar"/>
    <w:uiPriority w:val="99"/>
    <w:semiHidden/>
    <w:unhideWhenUsed/>
    <w:rsid w:val="000135B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35B4"/>
    <w:rPr>
      <w:sz w:val="20"/>
      <w:szCs w:val="20"/>
    </w:rPr>
  </w:style>
  <w:style w:type="character" w:styleId="FootnoteReference">
    <w:name w:val="footnote reference"/>
    <w:basedOn w:val="DefaultParagraphFont"/>
    <w:uiPriority w:val="99"/>
    <w:semiHidden/>
    <w:unhideWhenUsed/>
    <w:rsid w:val="000135B4"/>
    <w:rPr>
      <w:vertAlign w:val="superscript"/>
    </w:rPr>
  </w:style>
  <w:style w:type="paragraph" w:styleId="CommentSubject">
    <w:name w:val="annotation subject"/>
    <w:basedOn w:val="CommentText"/>
    <w:next w:val="CommentText"/>
    <w:link w:val="CommentSubjectChar"/>
    <w:uiPriority w:val="99"/>
    <w:semiHidden/>
    <w:unhideWhenUsed/>
    <w:rsid w:val="000135B4"/>
    <w:rPr>
      <w:b/>
      <w:bCs/>
    </w:rPr>
  </w:style>
  <w:style w:type="character" w:customStyle="1" w:styleId="CommentSubjectChar">
    <w:name w:val="Comment Subject Char"/>
    <w:basedOn w:val="CommentTextChar"/>
    <w:link w:val="CommentSubject"/>
    <w:uiPriority w:val="99"/>
    <w:semiHidden/>
    <w:rsid w:val="000135B4"/>
    <w:rPr>
      <w:b/>
      <w:bCs/>
      <w:sz w:val="20"/>
      <w:szCs w:val="20"/>
    </w:rPr>
  </w:style>
  <w:style w:type="character" w:styleId="Hyperlink">
    <w:name w:val="Hyperlink"/>
    <w:basedOn w:val="DefaultParagraphFont"/>
    <w:uiPriority w:val="99"/>
    <w:unhideWhenUsed/>
    <w:rsid w:val="00A836C0"/>
    <w:rPr>
      <w:color w:val="467886" w:themeColor="hyperlink"/>
      <w:u w:val="single"/>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994280">
      <w:bodyDiv w:val="1"/>
      <w:marLeft w:val="0"/>
      <w:marRight w:val="0"/>
      <w:marTop w:val="0"/>
      <w:marBottom w:val="0"/>
      <w:divBdr>
        <w:top w:val="none" w:sz="0" w:space="0" w:color="auto"/>
        <w:left w:val="none" w:sz="0" w:space="0" w:color="auto"/>
        <w:bottom w:val="none" w:sz="0" w:space="0" w:color="auto"/>
        <w:right w:val="none" w:sz="0" w:space="0" w:color="auto"/>
      </w:divBdr>
      <w:divsChild>
        <w:div w:id="1178622496">
          <w:marLeft w:val="1469"/>
          <w:marRight w:val="0"/>
          <w:marTop w:val="75"/>
          <w:marBottom w:val="0"/>
          <w:divBdr>
            <w:top w:val="none" w:sz="0" w:space="0" w:color="auto"/>
            <w:left w:val="none" w:sz="0" w:space="0" w:color="auto"/>
            <w:bottom w:val="none" w:sz="0" w:space="0" w:color="auto"/>
            <w:right w:val="none" w:sz="0" w:space="0" w:color="auto"/>
          </w:divBdr>
        </w:div>
      </w:divsChild>
    </w:div>
    <w:div w:id="842478685">
      <w:bodyDiv w:val="1"/>
      <w:marLeft w:val="0"/>
      <w:marRight w:val="0"/>
      <w:marTop w:val="0"/>
      <w:marBottom w:val="0"/>
      <w:divBdr>
        <w:top w:val="none" w:sz="0" w:space="0" w:color="auto"/>
        <w:left w:val="none" w:sz="0" w:space="0" w:color="auto"/>
        <w:bottom w:val="none" w:sz="0" w:space="0" w:color="auto"/>
        <w:right w:val="none" w:sz="0" w:space="0" w:color="auto"/>
      </w:divBdr>
      <w:divsChild>
        <w:div w:id="1404374206">
          <w:marLeft w:val="0"/>
          <w:marRight w:val="0"/>
          <w:marTop w:val="0"/>
          <w:marBottom w:val="0"/>
          <w:divBdr>
            <w:top w:val="none" w:sz="0" w:space="0" w:color="auto"/>
            <w:left w:val="none" w:sz="0" w:space="0" w:color="auto"/>
            <w:bottom w:val="none" w:sz="0" w:space="0" w:color="auto"/>
            <w:right w:val="none" w:sz="0" w:space="0" w:color="auto"/>
          </w:divBdr>
        </w:div>
        <w:div w:id="311714398">
          <w:marLeft w:val="0"/>
          <w:marRight w:val="0"/>
          <w:marTop w:val="0"/>
          <w:marBottom w:val="0"/>
          <w:divBdr>
            <w:top w:val="none" w:sz="0" w:space="0" w:color="auto"/>
            <w:left w:val="none" w:sz="0" w:space="0" w:color="auto"/>
            <w:bottom w:val="none" w:sz="0" w:space="0" w:color="auto"/>
            <w:right w:val="none" w:sz="0" w:space="0" w:color="auto"/>
          </w:divBdr>
        </w:div>
        <w:div w:id="1547060110">
          <w:marLeft w:val="0"/>
          <w:marRight w:val="0"/>
          <w:marTop w:val="0"/>
          <w:marBottom w:val="0"/>
          <w:divBdr>
            <w:top w:val="none" w:sz="0" w:space="0" w:color="auto"/>
            <w:left w:val="none" w:sz="0" w:space="0" w:color="auto"/>
            <w:bottom w:val="none" w:sz="0" w:space="0" w:color="auto"/>
            <w:right w:val="none" w:sz="0" w:space="0" w:color="auto"/>
          </w:divBdr>
        </w:div>
        <w:div w:id="1353148704">
          <w:marLeft w:val="0"/>
          <w:marRight w:val="0"/>
          <w:marTop w:val="0"/>
          <w:marBottom w:val="0"/>
          <w:divBdr>
            <w:top w:val="none" w:sz="0" w:space="0" w:color="auto"/>
            <w:left w:val="none" w:sz="0" w:space="0" w:color="auto"/>
            <w:bottom w:val="none" w:sz="0" w:space="0" w:color="auto"/>
            <w:right w:val="none" w:sz="0" w:space="0" w:color="auto"/>
          </w:divBdr>
        </w:div>
        <w:div w:id="1523863372">
          <w:marLeft w:val="0"/>
          <w:marRight w:val="0"/>
          <w:marTop w:val="0"/>
          <w:marBottom w:val="0"/>
          <w:divBdr>
            <w:top w:val="none" w:sz="0" w:space="0" w:color="auto"/>
            <w:left w:val="none" w:sz="0" w:space="0" w:color="auto"/>
            <w:bottom w:val="none" w:sz="0" w:space="0" w:color="auto"/>
            <w:right w:val="none" w:sz="0" w:space="0" w:color="auto"/>
          </w:divBdr>
        </w:div>
        <w:div w:id="2106458935">
          <w:marLeft w:val="0"/>
          <w:marRight w:val="0"/>
          <w:marTop w:val="0"/>
          <w:marBottom w:val="0"/>
          <w:divBdr>
            <w:top w:val="none" w:sz="0" w:space="0" w:color="auto"/>
            <w:left w:val="none" w:sz="0" w:space="0" w:color="auto"/>
            <w:bottom w:val="none" w:sz="0" w:space="0" w:color="auto"/>
            <w:right w:val="none" w:sz="0" w:space="0" w:color="auto"/>
          </w:divBdr>
        </w:div>
        <w:div w:id="635989215">
          <w:marLeft w:val="0"/>
          <w:marRight w:val="0"/>
          <w:marTop w:val="0"/>
          <w:marBottom w:val="0"/>
          <w:divBdr>
            <w:top w:val="none" w:sz="0" w:space="0" w:color="auto"/>
            <w:left w:val="none" w:sz="0" w:space="0" w:color="auto"/>
            <w:bottom w:val="none" w:sz="0" w:space="0" w:color="auto"/>
            <w:right w:val="none" w:sz="0" w:space="0" w:color="auto"/>
          </w:divBdr>
        </w:div>
        <w:div w:id="1773235689">
          <w:marLeft w:val="0"/>
          <w:marRight w:val="0"/>
          <w:marTop w:val="0"/>
          <w:marBottom w:val="0"/>
          <w:divBdr>
            <w:top w:val="none" w:sz="0" w:space="0" w:color="auto"/>
            <w:left w:val="none" w:sz="0" w:space="0" w:color="auto"/>
            <w:bottom w:val="none" w:sz="0" w:space="0" w:color="auto"/>
            <w:right w:val="none" w:sz="0" w:space="0" w:color="auto"/>
          </w:divBdr>
        </w:div>
        <w:div w:id="1997954963">
          <w:marLeft w:val="0"/>
          <w:marRight w:val="0"/>
          <w:marTop w:val="0"/>
          <w:marBottom w:val="0"/>
          <w:divBdr>
            <w:top w:val="none" w:sz="0" w:space="0" w:color="auto"/>
            <w:left w:val="none" w:sz="0" w:space="0" w:color="auto"/>
            <w:bottom w:val="none" w:sz="0" w:space="0" w:color="auto"/>
            <w:right w:val="none" w:sz="0" w:space="0" w:color="auto"/>
          </w:divBdr>
        </w:div>
      </w:divsChild>
    </w:div>
    <w:div w:id="1606230433">
      <w:bodyDiv w:val="1"/>
      <w:marLeft w:val="0"/>
      <w:marRight w:val="0"/>
      <w:marTop w:val="0"/>
      <w:marBottom w:val="0"/>
      <w:divBdr>
        <w:top w:val="none" w:sz="0" w:space="0" w:color="auto"/>
        <w:left w:val="none" w:sz="0" w:space="0" w:color="auto"/>
        <w:bottom w:val="none" w:sz="0" w:space="0" w:color="auto"/>
        <w:right w:val="none" w:sz="0" w:space="0" w:color="auto"/>
      </w:divBdr>
      <w:divsChild>
        <w:div w:id="1213420701">
          <w:marLeft w:val="0"/>
          <w:marRight w:val="0"/>
          <w:marTop w:val="0"/>
          <w:marBottom w:val="0"/>
          <w:divBdr>
            <w:top w:val="none" w:sz="0" w:space="0" w:color="auto"/>
            <w:left w:val="none" w:sz="0" w:space="0" w:color="auto"/>
            <w:bottom w:val="none" w:sz="0" w:space="0" w:color="auto"/>
            <w:right w:val="none" w:sz="0" w:space="0" w:color="auto"/>
          </w:divBdr>
        </w:div>
        <w:div w:id="1345785519">
          <w:marLeft w:val="0"/>
          <w:marRight w:val="0"/>
          <w:marTop w:val="0"/>
          <w:marBottom w:val="0"/>
          <w:divBdr>
            <w:top w:val="none" w:sz="0" w:space="0" w:color="auto"/>
            <w:left w:val="none" w:sz="0" w:space="0" w:color="auto"/>
            <w:bottom w:val="none" w:sz="0" w:space="0" w:color="auto"/>
            <w:right w:val="none" w:sz="0" w:space="0" w:color="auto"/>
          </w:divBdr>
        </w:div>
        <w:div w:id="692922236">
          <w:marLeft w:val="0"/>
          <w:marRight w:val="0"/>
          <w:marTop w:val="0"/>
          <w:marBottom w:val="0"/>
          <w:divBdr>
            <w:top w:val="none" w:sz="0" w:space="0" w:color="auto"/>
            <w:left w:val="none" w:sz="0" w:space="0" w:color="auto"/>
            <w:bottom w:val="none" w:sz="0" w:space="0" w:color="auto"/>
            <w:right w:val="none" w:sz="0" w:space="0" w:color="auto"/>
          </w:divBdr>
        </w:div>
        <w:div w:id="1902133088">
          <w:marLeft w:val="0"/>
          <w:marRight w:val="0"/>
          <w:marTop w:val="0"/>
          <w:marBottom w:val="0"/>
          <w:divBdr>
            <w:top w:val="none" w:sz="0" w:space="0" w:color="auto"/>
            <w:left w:val="none" w:sz="0" w:space="0" w:color="auto"/>
            <w:bottom w:val="none" w:sz="0" w:space="0" w:color="auto"/>
            <w:right w:val="none" w:sz="0" w:space="0" w:color="auto"/>
          </w:divBdr>
        </w:div>
        <w:div w:id="1436558644">
          <w:marLeft w:val="0"/>
          <w:marRight w:val="0"/>
          <w:marTop w:val="0"/>
          <w:marBottom w:val="0"/>
          <w:divBdr>
            <w:top w:val="none" w:sz="0" w:space="0" w:color="auto"/>
            <w:left w:val="none" w:sz="0" w:space="0" w:color="auto"/>
            <w:bottom w:val="none" w:sz="0" w:space="0" w:color="auto"/>
            <w:right w:val="none" w:sz="0" w:space="0" w:color="auto"/>
          </w:divBdr>
        </w:div>
        <w:div w:id="957687266">
          <w:marLeft w:val="0"/>
          <w:marRight w:val="0"/>
          <w:marTop w:val="0"/>
          <w:marBottom w:val="0"/>
          <w:divBdr>
            <w:top w:val="none" w:sz="0" w:space="0" w:color="auto"/>
            <w:left w:val="none" w:sz="0" w:space="0" w:color="auto"/>
            <w:bottom w:val="none" w:sz="0" w:space="0" w:color="auto"/>
            <w:right w:val="none" w:sz="0" w:space="0" w:color="auto"/>
          </w:divBdr>
        </w:div>
        <w:div w:id="1437290955">
          <w:marLeft w:val="0"/>
          <w:marRight w:val="0"/>
          <w:marTop w:val="0"/>
          <w:marBottom w:val="0"/>
          <w:divBdr>
            <w:top w:val="none" w:sz="0" w:space="0" w:color="auto"/>
            <w:left w:val="none" w:sz="0" w:space="0" w:color="auto"/>
            <w:bottom w:val="none" w:sz="0" w:space="0" w:color="auto"/>
            <w:right w:val="none" w:sz="0" w:space="0" w:color="auto"/>
          </w:divBdr>
        </w:div>
        <w:div w:id="845905759">
          <w:marLeft w:val="0"/>
          <w:marRight w:val="0"/>
          <w:marTop w:val="0"/>
          <w:marBottom w:val="0"/>
          <w:divBdr>
            <w:top w:val="none" w:sz="0" w:space="0" w:color="auto"/>
            <w:left w:val="none" w:sz="0" w:space="0" w:color="auto"/>
            <w:bottom w:val="none" w:sz="0" w:space="0" w:color="auto"/>
            <w:right w:val="none" w:sz="0" w:space="0" w:color="auto"/>
          </w:divBdr>
        </w:div>
        <w:div w:id="1606962084">
          <w:marLeft w:val="0"/>
          <w:marRight w:val="0"/>
          <w:marTop w:val="0"/>
          <w:marBottom w:val="0"/>
          <w:divBdr>
            <w:top w:val="none" w:sz="0" w:space="0" w:color="auto"/>
            <w:left w:val="none" w:sz="0" w:space="0" w:color="auto"/>
            <w:bottom w:val="none" w:sz="0" w:space="0" w:color="auto"/>
            <w:right w:val="none" w:sz="0" w:space="0" w:color="auto"/>
          </w:divBdr>
        </w:div>
      </w:divsChild>
    </w:div>
    <w:div w:id="1765876502">
      <w:bodyDiv w:val="1"/>
      <w:marLeft w:val="0"/>
      <w:marRight w:val="0"/>
      <w:marTop w:val="0"/>
      <w:marBottom w:val="0"/>
      <w:divBdr>
        <w:top w:val="none" w:sz="0" w:space="0" w:color="auto"/>
        <w:left w:val="none" w:sz="0" w:space="0" w:color="auto"/>
        <w:bottom w:val="none" w:sz="0" w:space="0" w:color="auto"/>
        <w:right w:val="none" w:sz="0" w:space="0" w:color="auto"/>
      </w:divBdr>
      <w:divsChild>
        <w:div w:id="1586576923">
          <w:marLeft w:val="1469"/>
          <w:marRight w:val="0"/>
          <w:marTop w:val="75"/>
          <w:marBottom w:val="0"/>
          <w:divBdr>
            <w:top w:val="none" w:sz="0" w:space="0" w:color="auto"/>
            <w:left w:val="none" w:sz="0" w:space="0" w:color="auto"/>
            <w:bottom w:val="none" w:sz="0" w:space="0" w:color="auto"/>
            <w:right w:val="none" w:sz="0" w:space="0" w:color="auto"/>
          </w:divBdr>
        </w:div>
        <w:div w:id="1350444861">
          <w:marLeft w:val="1469"/>
          <w:marRight w:val="0"/>
          <w:marTop w:val="75"/>
          <w:marBottom w:val="0"/>
          <w:divBdr>
            <w:top w:val="none" w:sz="0" w:space="0" w:color="auto"/>
            <w:left w:val="none" w:sz="0" w:space="0" w:color="auto"/>
            <w:bottom w:val="none" w:sz="0" w:space="0" w:color="auto"/>
            <w:right w:val="none" w:sz="0" w:space="0" w:color="auto"/>
          </w:divBdr>
        </w:div>
      </w:divsChild>
    </w:div>
    <w:div w:id="1808235332">
      <w:bodyDiv w:val="1"/>
      <w:marLeft w:val="0"/>
      <w:marRight w:val="0"/>
      <w:marTop w:val="0"/>
      <w:marBottom w:val="0"/>
      <w:divBdr>
        <w:top w:val="none" w:sz="0" w:space="0" w:color="auto"/>
        <w:left w:val="none" w:sz="0" w:space="0" w:color="auto"/>
        <w:bottom w:val="none" w:sz="0" w:space="0" w:color="auto"/>
        <w:right w:val="none" w:sz="0" w:space="0" w:color="auto"/>
      </w:divBdr>
      <w:divsChild>
        <w:div w:id="2143694353">
          <w:marLeft w:val="1469"/>
          <w:marRight w:val="0"/>
          <w:marTop w:val="75"/>
          <w:marBottom w:val="0"/>
          <w:divBdr>
            <w:top w:val="none" w:sz="0" w:space="0" w:color="auto"/>
            <w:left w:val="none" w:sz="0" w:space="0" w:color="auto"/>
            <w:bottom w:val="none" w:sz="0" w:space="0" w:color="auto"/>
            <w:right w:val="none" w:sz="0" w:space="0" w:color="auto"/>
          </w:divBdr>
        </w:div>
        <w:div w:id="513153663">
          <w:marLeft w:val="1469"/>
          <w:marRight w:val="0"/>
          <w:marTop w:val="75"/>
          <w:marBottom w:val="0"/>
          <w:divBdr>
            <w:top w:val="none" w:sz="0" w:space="0" w:color="auto"/>
            <w:left w:val="none" w:sz="0" w:space="0" w:color="auto"/>
            <w:bottom w:val="none" w:sz="0" w:space="0" w:color="auto"/>
            <w:right w:val="none" w:sz="0" w:space="0" w:color="auto"/>
          </w:divBdr>
        </w:div>
        <w:div w:id="241987094">
          <w:marLeft w:val="1469"/>
          <w:marRight w:val="0"/>
          <w:marTop w:val="75"/>
          <w:marBottom w:val="0"/>
          <w:divBdr>
            <w:top w:val="none" w:sz="0" w:space="0" w:color="auto"/>
            <w:left w:val="none" w:sz="0" w:space="0" w:color="auto"/>
            <w:bottom w:val="none" w:sz="0" w:space="0" w:color="auto"/>
            <w:right w:val="none" w:sz="0" w:space="0" w:color="auto"/>
          </w:divBdr>
        </w:div>
      </w:divsChild>
    </w:div>
    <w:div w:id="1977760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pash.org/mtr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kittitasfireready.org/" TargetMode="External"/><Relationship Id="rId4" Type="http://schemas.openxmlformats.org/officeDocument/2006/relationships/settings" Target="settings.xml"/><Relationship Id="rId9" Type="http://schemas.openxmlformats.org/officeDocument/2006/relationships/hyperlink" Target="https://foresthealthtracker.dnr.wa.gov/PriorityLandscape/Detail/752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AAC74-A5B5-4FC5-838E-6BAFD0BBC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2732</Words>
  <Characters>15574</Characters>
  <Application>Microsoft Office Word</Application>
  <DocSecurity>0</DocSecurity>
  <Lines>129</Lines>
  <Paragraphs>36</Paragraphs>
  <ScaleCrop>false</ScaleCrop>
  <Company/>
  <LinksUpToDate>false</LinksUpToDate>
  <CharactersWithSpaces>18270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Buchanan, Lindsay - FS, OR</dc:creator>
  <cp:keywords/>
  <dc:description/>
  <cp:lastModifiedBy>Buchanan, Lindsay - FS, OR</cp:lastModifiedBy>
  <cp:revision>2</cp:revision>
  <dcterms:created xsi:type="dcterms:W3CDTF">2025-06-02T19:44:00Z</dcterms:created>
  <dcterms:modified xsi:type="dcterms:W3CDTF">2025-06-02T19:44:00Z</dcterms:modified>
</cp:coreProperties>
</file>