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906B" w14:textId="77777777" w:rsidR="00000000" w:rsidRDefault="00000000">
      <w:pPr>
        <w:rPr>
          <w:b/>
          <w:bCs/>
        </w:rPr>
      </w:pPr>
      <w:r w:rsidRPr="00EF76B0">
        <w:rPr>
          <w:b/>
          <w:bCs/>
        </w:rPr>
        <w:t>Key points for CFLRA webinar discussion:</w:t>
      </w:r>
    </w:p>
    <w:p w14:paraId="383211F8" w14:textId="77777777" w:rsidR="00000000" w:rsidRPr="00EF76B0" w:rsidRDefault="00000000">
      <w:pPr>
        <w:rPr>
          <w:b/>
          <w:bCs/>
        </w:rPr>
      </w:pPr>
      <w:r>
        <w:rPr>
          <w:b/>
          <w:bCs/>
        </w:rPr>
        <w:t>CFLRA is:</w:t>
      </w:r>
    </w:p>
    <w:p w14:paraId="73E81A4D" w14:textId="77777777" w:rsidR="00000000" w:rsidRDefault="00000000" w:rsidP="00C229F0">
      <w:pPr>
        <w:pStyle w:val="ColorfulList-Accent1"/>
        <w:numPr>
          <w:ilvl w:val="0"/>
          <w:numId w:val="1"/>
        </w:numPr>
      </w:pPr>
      <w:r w:rsidRPr="002F34A7">
        <w:rPr>
          <w:b/>
          <w:bCs/>
          <w:sz w:val="28"/>
          <w:szCs w:val="28"/>
        </w:rPr>
        <w:t>C</w:t>
      </w:r>
      <w:r w:rsidRPr="00EF76B0">
        <w:rPr>
          <w:b/>
          <w:bCs/>
        </w:rPr>
        <w:t>ollaborative</w:t>
      </w:r>
      <w:r>
        <w:t xml:space="preserve"> – the best/most competitive project proposals are going to show evidence of strong collaboration.  The project proposals we receive will likely cover an entire range of </w:t>
      </w:r>
      <w:proofErr w:type="gramStart"/>
      <w:r>
        <w:t>collaboration</w:t>
      </w:r>
      <w:proofErr w:type="gramEnd"/>
      <w:r>
        <w:t xml:space="preserve">, and while any collaboration is better than none, a record of successful, meaningful collaboration will make projects stand out.  </w:t>
      </w:r>
    </w:p>
    <w:p w14:paraId="2A45F98E" w14:textId="77777777" w:rsidR="00C229F0" w:rsidRDefault="00C229F0" w:rsidP="00C229F0">
      <w:pPr>
        <w:pStyle w:val="ColorfulList-Accent1"/>
        <w:numPr>
          <w:ilvl w:val="0"/>
          <w:numId w:val="1"/>
        </w:numPr>
      </w:pPr>
      <w:r>
        <w:t xml:space="preserve"> </w:t>
      </w:r>
      <w:r w:rsidRPr="002F34A7">
        <w:rPr>
          <w:b/>
          <w:bCs/>
          <w:sz w:val="28"/>
          <w:szCs w:val="28"/>
        </w:rPr>
        <w:t>F</w:t>
      </w:r>
      <w:r w:rsidRPr="00EF76B0">
        <w:rPr>
          <w:b/>
          <w:bCs/>
        </w:rPr>
        <w:t xml:space="preserve">orest </w:t>
      </w:r>
      <w:r w:rsidRPr="002F34A7">
        <w:rPr>
          <w:b/>
          <w:bCs/>
          <w:sz w:val="28"/>
          <w:szCs w:val="28"/>
        </w:rPr>
        <w:t>L</w:t>
      </w:r>
      <w:r w:rsidRPr="00EF76B0">
        <w:rPr>
          <w:b/>
          <w:bCs/>
        </w:rPr>
        <w:t>andscape</w:t>
      </w:r>
      <w:r>
        <w:t xml:space="preserve"> – law calls for a minimum </w:t>
      </w:r>
      <w:proofErr w:type="gramStart"/>
      <w:r>
        <w:t>50,000 acre</w:t>
      </w:r>
      <w:proofErr w:type="gramEnd"/>
      <w:r>
        <w:t xml:space="preserve"> project area, the majority of which if NF land.  </w:t>
      </w:r>
    </w:p>
    <w:p w14:paraId="5983808B" w14:textId="77777777" w:rsidR="00C229F0" w:rsidRDefault="00C229F0" w:rsidP="00C229F0">
      <w:pPr>
        <w:pStyle w:val="ColorfulList-Accent1"/>
        <w:numPr>
          <w:ilvl w:val="1"/>
          <w:numId w:val="1"/>
        </w:numPr>
      </w:pPr>
      <w:r>
        <w:t xml:space="preserve">We’re being challenged to think </w:t>
      </w:r>
      <w:r w:rsidRPr="001F2C3E">
        <w:rPr>
          <w:b/>
          <w:bCs/>
        </w:rPr>
        <w:t>big</w:t>
      </w:r>
      <w:r>
        <w:t xml:space="preserve"> – large areas, large investments</w:t>
      </w:r>
    </w:p>
    <w:p w14:paraId="24E74B09" w14:textId="77777777" w:rsidR="00C229F0" w:rsidRDefault="00C229F0" w:rsidP="00C229F0">
      <w:pPr>
        <w:pStyle w:val="ColorfulList-Accent1"/>
        <w:numPr>
          <w:ilvl w:val="1"/>
          <w:numId w:val="1"/>
        </w:numPr>
      </w:pPr>
      <w:r>
        <w:t>Could be an aggregation of several adjacent project areas covered under different NEPA decisions</w:t>
      </w:r>
    </w:p>
    <w:p w14:paraId="58365962" w14:textId="77777777" w:rsidR="00C229F0" w:rsidRPr="00EF76B0" w:rsidRDefault="00C229F0" w:rsidP="00C229F0">
      <w:pPr>
        <w:pStyle w:val="ColorfulList-Accent1"/>
        <w:numPr>
          <w:ilvl w:val="0"/>
          <w:numId w:val="1"/>
        </w:numPr>
        <w:rPr>
          <w:b/>
          <w:bCs/>
        </w:rPr>
      </w:pPr>
      <w:r w:rsidRPr="00E96504">
        <w:rPr>
          <w:b/>
          <w:bCs/>
          <w:sz w:val="28"/>
          <w:szCs w:val="28"/>
        </w:rPr>
        <w:t>R</w:t>
      </w:r>
      <w:r w:rsidRPr="00E96504">
        <w:rPr>
          <w:b/>
          <w:bCs/>
        </w:rPr>
        <w:t>estoration</w:t>
      </w:r>
    </w:p>
    <w:p w14:paraId="380FD886" w14:textId="77777777" w:rsidR="00C229F0" w:rsidRDefault="00C229F0" w:rsidP="00C229F0">
      <w:pPr>
        <w:pStyle w:val="ColorfulList-Accent1"/>
        <w:numPr>
          <w:ilvl w:val="1"/>
          <w:numId w:val="1"/>
        </w:numPr>
      </w:pPr>
      <w:r>
        <w:t xml:space="preserve">We’re being challenged to think </w:t>
      </w:r>
      <w:r w:rsidRPr="001F2C3E">
        <w:rPr>
          <w:b/>
          <w:bCs/>
        </w:rPr>
        <w:t>intensive</w:t>
      </w:r>
      <w:r>
        <w:t xml:space="preserve"> – to </w:t>
      </w:r>
      <w:proofErr w:type="gramStart"/>
      <w:r>
        <w:t>have an effect on</w:t>
      </w:r>
      <w:proofErr w:type="gramEnd"/>
      <w:r>
        <w:t xml:space="preserve"> forest restoration, reduce future wildfire effects and costs, increase the ability to use wildfire where appropriate.  Consider the proportion of the landscape being treated</w:t>
      </w:r>
    </w:p>
    <w:p w14:paraId="52F250F0" w14:textId="77777777" w:rsidR="00C229F0" w:rsidRDefault="00C229F0" w:rsidP="00C229F0">
      <w:pPr>
        <w:pStyle w:val="ColorfulList-Accent1"/>
        <w:numPr>
          <w:ilvl w:val="1"/>
          <w:numId w:val="1"/>
        </w:numPr>
      </w:pPr>
      <w:r>
        <w:t>Successful projects will show how the work fits into a strategy for restoration – across ownerships, based on good science</w:t>
      </w:r>
    </w:p>
    <w:p w14:paraId="3517F33C" w14:textId="77777777" w:rsidR="00C229F0" w:rsidRDefault="00C229F0" w:rsidP="00C229F0">
      <w:pPr>
        <w:pStyle w:val="ColorfulList-Accent1"/>
        <w:numPr>
          <w:ilvl w:val="1"/>
          <w:numId w:val="1"/>
        </w:numPr>
      </w:pPr>
      <w:r>
        <w:t xml:space="preserve">Forest treatments will focus on removing small diameter trees and leaving largest, </w:t>
      </w:r>
      <w:proofErr w:type="gramStart"/>
      <w:r>
        <w:t>fire resistant</w:t>
      </w:r>
      <w:proofErr w:type="gramEnd"/>
      <w:r>
        <w:t xml:space="preserve"> trees, and restoring pre-fire suppression old-growth conditions </w:t>
      </w:r>
    </w:p>
    <w:p w14:paraId="72DB1BC9" w14:textId="77777777" w:rsidR="00C229F0" w:rsidRDefault="00C229F0" w:rsidP="00C229F0">
      <w:r>
        <w:t xml:space="preserve">Stewardship – the use of stewardship authorities to reduce restoration costs </w:t>
      </w:r>
      <w:proofErr w:type="gramStart"/>
      <w:r>
        <w:t>through the use of</w:t>
      </w:r>
      <w:proofErr w:type="gramEnd"/>
      <w:r>
        <w:t xml:space="preserve"> product value of small diameter material and biomass is a criterion for “special consideration”.   Stewardship product value can be used as part of the required 50% match for CFLRA funds.  As an example:</w:t>
      </w:r>
    </w:p>
    <w:p w14:paraId="5AC5E9CD" w14:textId="77777777" w:rsidR="00C229F0" w:rsidRDefault="00C229F0" w:rsidP="00C229F0">
      <w:pPr>
        <w:pStyle w:val="ColorfulList-Accent1"/>
        <w:numPr>
          <w:ilvl w:val="0"/>
          <w:numId w:val="2"/>
        </w:numPr>
      </w:pPr>
      <w:r>
        <w:t xml:space="preserve">Project costs are estimated at $1000/acre.  An estimated product value of $500/acre is available.  CFLRA funds of $500/acre can be requested, with the product value as the other 50% for implementation costs.  </w:t>
      </w:r>
    </w:p>
    <w:p w14:paraId="75A73A02" w14:textId="77777777" w:rsidR="00C229F0" w:rsidRDefault="00C229F0" w:rsidP="00C229F0">
      <w:r>
        <w:t xml:space="preserve">Multi-year – to be eligible, proposals should show a 10-year schedule of restoration treatments in the landscape.  The current interpretation is </w:t>
      </w:r>
      <w:proofErr w:type="gramStart"/>
      <w:r>
        <w:t>that,</w:t>
      </w:r>
      <w:proofErr w:type="gramEnd"/>
      <w:r>
        <w:t xml:space="preserve"> once a project is selected, the out-year programs of work will be funded without having to compete each year.  This is, of course, subject to annual appropriations.  </w:t>
      </w:r>
    </w:p>
    <w:p w14:paraId="2B694515" w14:textId="77777777" w:rsidR="00C229F0" w:rsidRDefault="00C229F0" w:rsidP="00C229F0">
      <w:pPr>
        <w:pStyle w:val="ColorfulList-Accent1"/>
      </w:pPr>
    </w:p>
    <w:p w14:paraId="008BEEE7" w14:textId="77777777" w:rsidR="00C229F0" w:rsidRDefault="00C229F0"/>
    <w:sectPr w:rsidR="00C229F0" w:rsidSect="00C22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AD1"/>
    <w:multiLevelType w:val="hybridMultilevel"/>
    <w:tmpl w:val="ED06A52C"/>
    <w:lvl w:ilvl="0" w:tplc="C4127E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Calibri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16DC3"/>
    <w:multiLevelType w:val="hybridMultilevel"/>
    <w:tmpl w:val="5A0CE4FC"/>
    <w:lvl w:ilvl="0" w:tplc="C4127E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Calibri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91062291">
    <w:abstractNumId w:val="0"/>
  </w:num>
  <w:num w:numId="2" w16cid:durableId="1892837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588"/>
    <w:rsid w:val="00136A52"/>
    <w:rsid w:val="00C2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E5F77"/>
  <w15:chartTrackingRefBased/>
  <w15:docId w15:val="{30572AA1-4157-4C25-9934-59119658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44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lorfulList-Accent1">
    <w:name w:val="Colorful List Accent 1"/>
    <w:basedOn w:val="Normal"/>
    <w:uiPriority w:val="99"/>
    <w:qFormat/>
    <w:rsid w:val="006D25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points for CFLRA webinar discussion:</vt:lpstr>
    </vt:vector>
  </TitlesOfParts>
  <Company>Forest Service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 for CFLRA webinar discussion:</dc:title>
  <dc:subject/>
  <dc:creator>William Aney</dc:creator>
  <cp:keywords/>
  <dc:description/>
  <cp:lastModifiedBy>Lum-Naihe, Christof Jurh duk - FS, AZ</cp:lastModifiedBy>
  <cp:revision>2</cp:revision>
  <dcterms:created xsi:type="dcterms:W3CDTF">2025-07-24T20:54:00Z</dcterms:created>
  <dcterms:modified xsi:type="dcterms:W3CDTF">2025-07-24T20:54:00Z</dcterms:modified>
</cp:coreProperties>
</file>