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3A69" w14:textId="77777777" w:rsidR="00864B6D" w:rsidRDefault="00864B6D" w:rsidP="00650194">
      <w:pPr>
        <w:spacing w:line="276" w:lineRule="auto"/>
        <w:rPr>
          <w:b/>
        </w:rPr>
      </w:pPr>
      <w:r>
        <w:rPr>
          <w:b/>
        </w:rPr>
        <w:t>FIRE AND FUELS</w:t>
      </w:r>
    </w:p>
    <w:p w14:paraId="5CDDC594" w14:textId="77777777" w:rsidR="00864B6D" w:rsidRDefault="00864B6D" w:rsidP="00650194">
      <w:pPr>
        <w:spacing w:line="276" w:lineRule="auto"/>
        <w:rPr>
          <w:b/>
        </w:rPr>
      </w:pPr>
    </w:p>
    <w:p w14:paraId="42F1AD49" w14:textId="77777777" w:rsidR="00864B6D" w:rsidRDefault="00864B6D" w:rsidP="00650194">
      <w:pPr>
        <w:spacing w:line="276" w:lineRule="auto"/>
        <w:rPr>
          <w:b/>
        </w:rPr>
      </w:pPr>
      <w:r>
        <w:rPr>
          <w:b/>
        </w:rPr>
        <w:t>Fire Ecology</w:t>
      </w:r>
    </w:p>
    <w:p w14:paraId="4C91A049" w14:textId="77777777" w:rsidR="00864B6D" w:rsidRDefault="00864B6D" w:rsidP="00650194">
      <w:pPr>
        <w:spacing w:line="276" w:lineRule="auto"/>
        <w:ind w:firstLine="720"/>
      </w:pPr>
      <w:r>
        <w:t xml:space="preserve">All stands in the analysis area for the Sawtooth Huckleberry Restoration Project fall into the Pacific silver fir plant association group.  These areas are high elevation, moist forest stands experiencing cold winter conditions and a large snowpack.  Units 1a, 1b, and 4 fall into the Pacific silver fir/big huckleberry/queencup beadlily association (CF S2-56) ABAM/VAME/CLUN.  In this group, Pacific silver fir dominates the overstory.  It is accompanied by Douglas fir, western hemlock, and noble fir.  Pacific silver fir also dominates the understory regeneration layer and big huckleberry dominates the shrub layer.  The majority of the units (2, 3, 5, 8, 9, 10, 11a, 11b, and 12) are all in the Pacific silver fir/big huckleberry/beargrass association (CF S2-51) ABAM/VAME/XETE.  This group tends to be slightly colder with a bit lower soil depth and percent herb cover but similar in elevation to the previously mentioned group.  In these areas, Pacific silver fir and western hemlock are found in the overstory, while big huckleberry and beargrass dominate the shrub and herb layers.  Lastly, units 6 and 7 are in the mountain hemlock/big huckleberry association (SM S2-10) TSME/VAME.  It is likely to be somewhat colder and higher in elevation than both the previously mentioned groups, has the lowest soil depth, and is the only one to occupy north facing slopes.  The canopy is made up of Pacific silver fir and mountain hemlock, with those being the primary regeneration species as well.  Big huckleberry and beargrass dominate the shrub/herb layer with little other understory diversity (Brockway, 1983).  </w:t>
      </w:r>
    </w:p>
    <w:p w14:paraId="09BEF766" w14:textId="77777777" w:rsidR="00864B6D" w:rsidRDefault="00864B6D" w:rsidP="00650194">
      <w:pPr>
        <w:spacing w:line="276" w:lineRule="auto"/>
        <w:ind w:firstLine="720"/>
      </w:pPr>
      <w:r>
        <w:t>These plant groups are described as part of fire group 8—warm, moist western hemlock and Pacific silver fir.  Areas in this classification generally contain deep duff and large logs while lacking fine fuels.  In most years, fuels remain wet most of the year and are slow to dry in the summer.  However, the dry duff will carry fire if exposed and prolonged smoldering in deep duff and punky logs can result in a high severity burn that severely damages the soil.  Fire in this group serves to create a mosaic of stand structures and age classes across the landscape while preparing seed beds for certain species and contributing to within-stand species diversity (Evers et al, 1996).  The diversity in stand structure currently present among the proposed project units could have possibly resulted from more recent burns or varying intensities of burns and availability of seed sources.</w:t>
      </w:r>
    </w:p>
    <w:p w14:paraId="7E25C696" w14:textId="77777777" w:rsidR="00864B6D" w:rsidRDefault="00864B6D" w:rsidP="00650194">
      <w:pPr>
        <w:spacing w:line="276" w:lineRule="auto"/>
        <w:ind w:firstLine="720"/>
      </w:pPr>
      <w:r>
        <w:t xml:space="preserve">The succession sequence is such that high intensity fire at any stage will send a stand to a shrub/herb dominated stage.  Even moderate intensity fires may eliminate Pacific silver fir due to its extremely low fire resistance.  It has thin bark; shallow roots; a low, dense branching habit; high stand densities; high foliage flammability, and heavy epiphytic lichen loads, leaving it susceptible to easy cambium and root kill, scorch, and crowing (Evers et al, 1996).  The predominant composition of Pacific silver fir in the stands of Sawtooth project area suggests high probabilities for mortality in any burn scenario.  As stands progress in succession, the probability of low to moderate intensity fires remains low through the stem exclusion phase due to lack of available fuel.  Fires become more probable later in the successional pathway when stands reach </w:t>
      </w:r>
      <w:r>
        <w:lastRenderedPageBreak/>
        <w:t>the stem re-initiation phase and natural fuel accumulations build (Evers et al, 1996).  Most of the stands in the Sawtooth project area are in early to mid-successional stages and, therefore, lack natural fuel accumulations as they have not yet reached the point of stem re-initiation.</w:t>
      </w:r>
    </w:p>
    <w:p w14:paraId="0A407416" w14:textId="77777777" w:rsidR="00864B6D" w:rsidRDefault="00864B6D" w:rsidP="00650194">
      <w:pPr>
        <w:spacing w:line="276" w:lineRule="auto"/>
        <w:ind w:firstLine="720"/>
      </w:pPr>
      <w:r>
        <w:t>Wildfire hazard in this fire group is low to moderate depending on the weather in any given year as well as the amount and extent of canopy gaps.  Smoldering and creeping spread rates are most common in these fuel types and most active burning occurs in a single burning period though it can span several.  The exception occurs in the event of dry east winds and prolonged drought (3+ years), which dries the forest floor enough to allow fire spread and can stimulate much higher intensity fires.  The aforementioned conditions resulting in the probability of large fire spread occur approximately every 30 years (Evers et al, 1996).  Under current stand conditions, stand replacing fires will dominate during large fire scenarios, and most fires will be either very small (&lt;10 acres) or very large (&gt;1000 acres) (Evers et al 1996; Agee, 1993).  The highest levels of fire danger occur mid-September through October (Evers et al, 1996).</w:t>
      </w:r>
    </w:p>
    <w:p w14:paraId="65B232C0" w14:textId="77777777" w:rsidR="00864B6D" w:rsidRDefault="00864B6D" w:rsidP="00650194">
      <w:pPr>
        <w:spacing w:line="276" w:lineRule="auto"/>
      </w:pPr>
    </w:p>
    <w:p w14:paraId="0051E9E3" w14:textId="77777777" w:rsidR="00864B6D" w:rsidRDefault="00864B6D" w:rsidP="00650194">
      <w:pPr>
        <w:spacing w:line="276" w:lineRule="auto"/>
        <w:rPr>
          <w:b/>
        </w:rPr>
      </w:pPr>
      <w:r>
        <w:rPr>
          <w:b/>
        </w:rPr>
        <w:t>Fire History</w:t>
      </w:r>
    </w:p>
    <w:p w14:paraId="61865FC9" w14:textId="77777777" w:rsidR="00864B6D" w:rsidRDefault="00864B6D" w:rsidP="00650194">
      <w:pPr>
        <w:spacing w:line="276" w:lineRule="auto"/>
      </w:pPr>
      <w:r>
        <w:tab/>
        <w:t xml:space="preserve">Before European settlement, fires in the area typically burned anywhere from several weeks to a couple months.  Long term smoldering and small crown fire runs created more mid-sized fires than are witnessed today and a finer scale mosaic of stand conditions across the landscape.  These burn patterns as well as topography may have had more influence on fire shape and size.  Underburns may also have been more common.  Fires that continued to burn into September and October faced the potential for a strong east wind event that triggered the large, fast-moving, high intensity burns.  Fire exclusion since European settlement may have some effect on current fire behavior and size (Evers et al, 1996).  </w:t>
      </w:r>
    </w:p>
    <w:p w14:paraId="7B15964E" w14:textId="77777777" w:rsidR="00864B6D" w:rsidRDefault="00864B6D" w:rsidP="00650194">
      <w:pPr>
        <w:spacing w:line="276" w:lineRule="auto"/>
        <w:rPr>
          <w:color w:val="FF0000"/>
        </w:rPr>
      </w:pPr>
      <w:r>
        <w:tab/>
        <w:t xml:space="preserve">Age class analyses show extremely variable fire return intervals ranging from 90-730 years with no discernable mode (Evers et al, 1996).  While stands at lower, drier elevations experience fire every 100-300 years, the Sawtooth project area is comprised of more moist sites where the return interval ranges from 300-600 years (Agee, 1993).  </w:t>
      </w:r>
    </w:p>
    <w:p w14:paraId="06343955" w14:textId="77777777" w:rsidR="00864B6D" w:rsidRDefault="00864B6D" w:rsidP="00650194">
      <w:pPr>
        <w:spacing w:line="276" w:lineRule="auto"/>
      </w:pPr>
      <w:r>
        <w:tab/>
        <w:t xml:space="preserve">Native American burning for huckleberry production was prevalent prior to European settlement across all proposed units in the Sawtooth Huckleberry Restoration project according to oral tradition of the Yakima Indian Nation.  According to historical maps, a large fire swept through all of the proposed Sawtooth Huckleberry Restoration units prior to the turn of the twentieth century.  All units burned again in the 1902 </w:t>
      </w:r>
      <w:smartTag w:uri="urn:schemas-microsoft-com:office:smarttags" w:element="place">
        <w:smartTag w:uri="urn:schemas-microsoft-com:office:smarttags" w:element="PlaceName">
          <w:r>
            <w:t>Lewis</w:t>
          </w:r>
        </w:smartTag>
        <w:r>
          <w:t xml:space="preserve"> </w:t>
        </w:r>
        <w:smartTag w:uri="urn:schemas-microsoft-com:office:smarttags" w:element="PlaceName">
          <w:r>
            <w:t>River</w:t>
          </w:r>
        </w:smartTag>
      </w:smartTag>
      <w:r>
        <w:t xml:space="preserve"> fire.  Another fire in 1905, whose exact perimeter is unknown, re-burned in the area of units 8, 9, 10, 11, 12, and potentially 6 and 7.  The scarcity of duff and the open canopy in throughout much of those units provide evidence of that re-burn. Finally, units 1 and 2 burned again in the late summer of 1910 in the Twin Buttes fire.  Numerous spot fires from these large fires and small, Native American started fires added to the mosaic created during that time period.  Thus, in the 20 years surrounding the turn of the century, fire visited the area frequently and burned all of the proposed units, most of them as many as three times.  Fire activity since the movement towards fire suppression and exclusion in the 1930s has been minimal with the majority of fires being human caused and </w:t>
      </w:r>
      <w:r>
        <w:lastRenderedPageBreak/>
        <w:t>contained at &lt;10 acres and oftentimes &lt;1 acre in size.  Current fuels loads vary across the units, but they are sparse overall, typically lacking in fine fuels with minimal larger logs and varying amounts of duff.  See the silviculture section for a description of stand composition.</w:t>
      </w:r>
    </w:p>
    <w:p w14:paraId="1C882342" w14:textId="77777777" w:rsidR="00864B6D" w:rsidRDefault="00864B6D" w:rsidP="00650194">
      <w:pPr>
        <w:spacing w:line="276" w:lineRule="auto"/>
        <w:rPr>
          <w:b/>
        </w:rPr>
      </w:pPr>
    </w:p>
    <w:p w14:paraId="2DBD695A" w14:textId="77777777" w:rsidR="00864B6D" w:rsidRDefault="00864B6D" w:rsidP="00650194">
      <w:pPr>
        <w:spacing w:line="276" w:lineRule="auto"/>
        <w:rPr>
          <w:b/>
        </w:rPr>
      </w:pPr>
      <w:r>
        <w:rPr>
          <w:b/>
        </w:rPr>
        <w:t>Prescribed Fire</w:t>
      </w:r>
      <w:r w:rsidR="00012196">
        <w:rPr>
          <w:b/>
        </w:rPr>
        <w:t xml:space="preserve"> </w:t>
      </w:r>
      <w:r w:rsidR="00406086">
        <w:rPr>
          <w:b/>
        </w:rPr>
        <w:t>Information and Feasibility</w:t>
      </w:r>
    </w:p>
    <w:p w14:paraId="567F7B62" w14:textId="77777777" w:rsidR="00864B6D" w:rsidRDefault="00864B6D" w:rsidP="00650194">
      <w:pPr>
        <w:spacing w:line="276" w:lineRule="auto"/>
      </w:pPr>
      <w:r>
        <w:tab/>
        <w:t xml:space="preserve">Prescribed fire is not seen as a particularly useful management option because under controllable conditions, prescribed fires will not spread (Agee, 1993).  High decomposition rates suggest mechanical or manual treatments may adequately manipulate fuels and address fuel hazards without the use of fire (Evers et al, 1996; Agee, 1993).  However, some burning may be appropriate to maintain high-producing huckleberry fields and to clean logging slash in visually sensitive and high use areas (Evers et al, 1996), but burning in these plant groups on cooler sites with soils lacking in fertility and where nutrient cycling and tree growth proceed at slow rates will likely result in decreased site fertility and productivity.  Nitrogen capital is concentrated in the forest floor and above ground vegetation, resulting in 60 percent of the fine root residing in the organic horizons of the forest floor (first 2-4 inches).  Even light burns may seriously decrease nitrogen capital and kill advanced regeneration.  Therefore, prescribed fire ideally would not exceed “light” intensity—surface temperatures less than 200 degrees Celsius, surface duff layer charred but not consumed, other woody debris partly burned and logs not deeply charred (Brockway et al, 1983) and should occur only when duff moisture is high to avoid prolonged smoldering that can result in soil damage, seedbank scarification, and the volatilization of too much nitrogen to maintain site productivity (Evers et al, 1996).  </w:t>
      </w:r>
    </w:p>
    <w:p w14:paraId="73AD48B2" w14:textId="77777777" w:rsidR="00864B6D" w:rsidRDefault="00864B6D" w:rsidP="00650194">
      <w:pPr>
        <w:spacing w:line="276" w:lineRule="auto"/>
        <w:ind w:firstLine="720"/>
      </w:pPr>
      <w:r>
        <w:t xml:space="preserve">As mentioned, most huckleberry fields of the Northwest, including those in the Sawtooth project area, originated following large, stand-replacing wildfires that were more common prior to modern fire suppression.  However, as stands age invading trees and other brush crowd the huckleberry bushes and eventually outcompete them as the community progress toward climax forest.  Without fire or other large scale forest disturbances, the berry production gradually declines as the other trees and shrubs come to dominate the site.  This describes the present trend in the Sawtooth huckleberry restoration area.  As the old burns continue to be reforested and new burns are rare, the formerly abundant huckleberry fields are decreasing in size and production.  Although some studies have been conducted, there is an overall lack of conclusive research as to effective management practices for the maintenance and restoration of huckleberry fields.  Little has been done since the Native Americans stopped burning, primarily due to lack of knowledge and limited financing (Minore, 1972), but prescribed burning is a potential option for maintaining the necessary open canopy under which huckleberries grow and for pruning the plants of older, less productive shoots.  </w:t>
      </w:r>
    </w:p>
    <w:p w14:paraId="59CADCA8" w14:textId="77777777" w:rsidR="00A66443" w:rsidRPr="00F939BE" w:rsidRDefault="001A6459" w:rsidP="00650194">
      <w:pPr>
        <w:spacing w:line="276" w:lineRule="auto"/>
        <w:ind w:firstLine="720"/>
      </w:pPr>
      <w:r w:rsidRPr="00F939BE">
        <w:t>Again</w:t>
      </w:r>
      <w:r w:rsidR="00AA5024" w:rsidRPr="00F939BE">
        <w:t xml:space="preserve">, the units in the Sawtooth Huckleberry restoration project area fall into the Pacific Silver Fir plant group: high elevation, moist forest with cold winter conditions, a large snowpack, little wildfire risk, and long fire return intervals.  </w:t>
      </w:r>
      <w:r w:rsidR="00864B6D" w:rsidRPr="00F939BE">
        <w:t xml:space="preserve"> Dominant tree species in this plant group are typically thin-barked and not well-adapted to fire because the average fire return interval is quite long.  Among these species present are primarily Pacific silver fir (</w:t>
      </w:r>
      <w:r w:rsidR="00864B6D" w:rsidRPr="00F939BE">
        <w:rPr>
          <w:i/>
        </w:rPr>
        <w:t xml:space="preserve">Abies </w:t>
      </w:r>
      <w:r w:rsidR="00864B6D" w:rsidRPr="00F939BE">
        <w:rPr>
          <w:i/>
        </w:rPr>
        <w:lastRenderedPageBreak/>
        <w:t>amabalis)</w:t>
      </w:r>
      <w:r w:rsidR="00864B6D" w:rsidRPr="00F939BE">
        <w:t>, subalpine fir (</w:t>
      </w:r>
      <w:r w:rsidR="00864B6D" w:rsidRPr="00F939BE">
        <w:rPr>
          <w:i/>
        </w:rPr>
        <w:t>Abies lasiocarpa</w:t>
      </w:r>
      <w:r w:rsidR="00864B6D" w:rsidRPr="00F939BE">
        <w:t>), and mountain hemlock (</w:t>
      </w:r>
      <w:r w:rsidR="00864B6D" w:rsidRPr="00F939BE">
        <w:rPr>
          <w:i/>
        </w:rPr>
        <w:t>Tsuga mertensiana)</w:t>
      </w:r>
      <w:r w:rsidR="00864B6D" w:rsidRPr="00F939BE">
        <w:t xml:space="preserve">, with a smaller component of noble fir </w:t>
      </w:r>
      <w:r w:rsidR="00864B6D" w:rsidRPr="00F939BE">
        <w:rPr>
          <w:i/>
        </w:rPr>
        <w:t>(Abies procera)</w:t>
      </w:r>
      <w:r w:rsidR="00864B6D" w:rsidRPr="00F939BE">
        <w:t>, Engelmann spruce (</w:t>
      </w:r>
      <w:r w:rsidR="00864B6D" w:rsidRPr="00F939BE">
        <w:rPr>
          <w:i/>
        </w:rPr>
        <w:t>Picea engelmannii)</w:t>
      </w:r>
      <w:r w:rsidR="00864B6D" w:rsidRPr="00F939BE">
        <w:t>, lodgepole pine (</w:t>
      </w:r>
      <w:r w:rsidR="00864B6D" w:rsidRPr="00F939BE">
        <w:rPr>
          <w:i/>
        </w:rPr>
        <w:t>Pinus contora)</w:t>
      </w:r>
      <w:r w:rsidR="00864B6D" w:rsidRPr="00F939BE">
        <w:t>, western white pine (</w:t>
      </w:r>
      <w:r w:rsidR="00864B6D" w:rsidRPr="00F939BE">
        <w:rPr>
          <w:i/>
        </w:rPr>
        <w:t>Pinus monticola</w:t>
      </w:r>
      <w:r w:rsidR="00864B6D" w:rsidRPr="00F939BE">
        <w:t>), and western hemlock (</w:t>
      </w:r>
      <w:r w:rsidR="00864B6D" w:rsidRPr="00F939BE">
        <w:rPr>
          <w:i/>
        </w:rPr>
        <w:t>Tsuga heterophylla)</w:t>
      </w:r>
      <w:r w:rsidR="00864B6D" w:rsidRPr="00F939BE">
        <w:t>.  Douglas-fir (</w:t>
      </w:r>
      <w:r w:rsidR="00864B6D" w:rsidRPr="00F939BE">
        <w:rPr>
          <w:i/>
        </w:rPr>
        <w:t>Pseudotsuga menziessii)</w:t>
      </w:r>
      <w:r w:rsidR="00864B6D" w:rsidRPr="00F939BE">
        <w:t xml:space="preserve"> is also present but is much better adapted to fire than the aforementioned species.  Due to the high susceptibility of the predominant trees to fire, mortality projections in the event of fire are typically high, even under desired conditions and close fire management.</w:t>
      </w:r>
      <w:r w:rsidR="00AA5024" w:rsidRPr="00F939BE">
        <w:t xml:space="preserve"> </w:t>
      </w:r>
      <w:r w:rsidR="00A66443" w:rsidRPr="00F939BE">
        <w:t xml:space="preserve"> </w:t>
      </w:r>
    </w:p>
    <w:p w14:paraId="56800CF2" w14:textId="77777777" w:rsidR="00864B6D" w:rsidRDefault="00A66443" w:rsidP="00650194">
      <w:pPr>
        <w:spacing w:line="276" w:lineRule="auto"/>
        <w:ind w:firstLine="720"/>
      </w:pPr>
      <w:r w:rsidRPr="00F939BE">
        <w:t>Throughout the project area, f</w:t>
      </w:r>
      <w:r w:rsidR="00AA5024" w:rsidRPr="00F939BE">
        <w:t xml:space="preserve">uelbeds are unreceptive to fire much of the year and surface fuels are compacted rapidly.  The greatest fire threat is present in late summer during the brief period when fuels are receptive and a large number of human visitors come to the area to gather forest products, particularly huckleberries.  Human-caused fires are not uncommon this time of year.  Thus, the recommended treatment under Alternative B </w:t>
      </w:r>
      <w:r w:rsidR="001A6459" w:rsidRPr="00F939BE">
        <w:t xml:space="preserve">to reduce the threat of human-caused ignition </w:t>
      </w:r>
      <w:r w:rsidR="00AA5024" w:rsidRPr="00F939BE">
        <w:t>is to pile and burn all act</w:t>
      </w:r>
      <w:r w:rsidR="001A6459" w:rsidRPr="00F939BE">
        <w:t>ivity fuels within 100 feet of R</w:t>
      </w:r>
      <w:r w:rsidR="00AA5024" w:rsidRPr="00F939BE">
        <w:t>oads</w:t>
      </w:r>
      <w:r w:rsidR="001A6459" w:rsidRPr="00F939BE">
        <w:t xml:space="preserve"> 24, 30, and 210, </w:t>
      </w:r>
      <w:r w:rsidR="00AA265B" w:rsidRPr="00F939BE">
        <w:t xml:space="preserve">Cold Springs Indian Camp, </w:t>
      </w:r>
      <w:r w:rsidR="001A6459" w:rsidRPr="00F939BE">
        <w:t xml:space="preserve">and </w:t>
      </w:r>
      <w:r w:rsidR="00AA5024" w:rsidRPr="00F939BE">
        <w:t>Saddle Camp</w:t>
      </w:r>
      <w:r w:rsidR="001A6459" w:rsidRPr="00F939BE">
        <w:t xml:space="preserve">.  </w:t>
      </w:r>
      <w:r w:rsidR="00AA5024" w:rsidRPr="00F939BE">
        <w:t xml:space="preserve"> </w:t>
      </w:r>
      <w:r w:rsidR="001A6459" w:rsidRPr="00F939BE">
        <w:t>All of Unit 5 will be piled and burned for site preparation purposes</w:t>
      </w:r>
      <w:r w:rsidR="00AA5024" w:rsidRPr="00F939BE">
        <w:t>.  On the other hand, Alternative C proposes the use of prescribed fire as a tool for huckleberry enhancement</w:t>
      </w:r>
      <w:r w:rsidR="00AA265B" w:rsidRPr="00F939BE">
        <w:t xml:space="preserve"> in Units 2, 5, 7, 10A, 11A-E, and 12</w:t>
      </w:r>
      <w:r w:rsidR="00AA5024" w:rsidRPr="00F939BE">
        <w:t xml:space="preserve">.  Based on specialist input for desired future condition under Alternative C and studies that have occurred, the analysis that follows is based on a prescription for a low intensity, fast moving </w:t>
      </w:r>
      <w:proofErr w:type="spellStart"/>
      <w:r w:rsidR="00AA265B" w:rsidRPr="00F939BE">
        <w:t>underburn</w:t>
      </w:r>
      <w:proofErr w:type="spellEnd"/>
      <w:r w:rsidR="00AA5024" w:rsidRPr="00F939BE">
        <w:t xml:space="preserve"> that will maintain huckleberry rhizome structure and the plant crown while pruning old limbs and allowing for some top kill.</w:t>
      </w:r>
      <w:r w:rsidR="00AA5024">
        <w:t xml:space="preserve">  </w:t>
      </w:r>
    </w:p>
    <w:p w14:paraId="097D79AF" w14:textId="77777777" w:rsidR="00864B6D" w:rsidRDefault="00864B6D" w:rsidP="00650194">
      <w:pPr>
        <w:spacing w:line="276" w:lineRule="auto"/>
        <w:ind w:firstLine="720"/>
      </w:pPr>
      <w:r>
        <w:t>The foliage of huckleberry plants is of low flammability and the plants are only consumed by fire when adequate fuels are present to dry and preheat stems and foliage (Miller, 1977).  Therefore, the fuels specialist will need to work closely with the sale administrator to achieve a desirable post-harvest condition that will lend itself to a light intensity, fast-moving fire.  This condition includes 4-8 tons of fine fuels per acre (less than 3 inches in diameter) with 2-5 of those tons in the 1- and 10-hour fuel category (less than or equal to 1 inch diameter).  As much of the material 3 inches and greater as possible should be removed.  All slash left onsite needs to cure and overwinter 1 year.  Post-harvest fuel bed depth should be between 18 and 24 inches, reducing to 8-12 inches of relatively continuous fuel after winter compaction.  The fuel moisture content of the surface fuels should be as follows:</w:t>
      </w:r>
    </w:p>
    <w:p w14:paraId="2DB1D2EA" w14:textId="77777777" w:rsidR="00864B6D" w:rsidRDefault="00864B6D" w:rsidP="00650194">
      <w:pPr>
        <w:spacing w:line="276" w:lineRule="auto"/>
        <w:ind w:left="720"/>
      </w:pPr>
      <w:r>
        <w:t>1-hour fuels (&lt;0.25” = 5-8%)</w:t>
      </w:r>
    </w:p>
    <w:p w14:paraId="19F53885" w14:textId="77777777" w:rsidR="00864B6D" w:rsidRDefault="00864B6D" w:rsidP="00650194">
      <w:pPr>
        <w:spacing w:line="276" w:lineRule="auto"/>
        <w:ind w:firstLine="720"/>
      </w:pPr>
      <w:r>
        <w:t>10-hour fuels (0.25” – 1.0” = 8-10%)</w:t>
      </w:r>
    </w:p>
    <w:p w14:paraId="6F86142A" w14:textId="77777777" w:rsidR="00864B6D" w:rsidRDefault="00864B6D" w:rsidP="00650194">
      <w:pPr>
        <w:spacing w:line="276" w:lineRule="auto"/>
        <w:ind w:firstLine="720"/>
      </w:pPr>
      <w:r>
        <w:t>100-hour fuels (1.0-3.0” &gt; 13%)</w:t>
      </w:r>
    </w:p>
    <w:p w14:paraId="05C084E6" w14:textId="77777777" w:rsidR="00864B6D" w:rsidRDefault="00864B6D" w:rsidP="00650194">
      <w:pPr>
        <w:spacing w:line="276" w:lineRule="auto"/>
        <w:ind w:firstLine="720"/>
      </w:pPr>
      <w:r>
        <w:t xml:space="preserve">1000-hour fuels (&gt;3.0” at the moisture of extinction or &gt;25%)          </w:t>
      </w:r>
    </w:p>
    <w:p w14:paraId="45B725EC" w14:textId="77777777" w:rsidR="00864B6D" w:rsidRDefault="00864B6D" w:rsidP="00650194">
      <w:pPr>
        <w:spacing w:line="276" w:lineRule="auto"/>
      </w:pPr>
      <w:r>
        <w:t xml:space="preserve">The presence of an adequately moist duff layer will help protect huckleberry rhizomes.  Fires conducted when duff is relatively moist and only partially consumed result in heavy re-sprouting from rhizomes (Boyd, 1999), while those that consume large amounts of duff are most harmful to regeneration (Miller, 1977).  The amount of heat that penetrates the soil layers where rhizomes occur as well as the amounts of duff and soil moisture are contributing factors to the post fire sprouting capability of the huckleberry plants (Miller, 1976).  In general, low severity burns </w:t>
      </w:r>
      <w:r>
        <w:lastRenderedPageBreak/>
        <w:t>result in heavy sprouting from rhizomes (Donnelly, 1993), while moderate to severe fires on coarse textured soil or areas with a thin organic layer kill underground rhizomes and result in heavy huckleberry mortality (Coates, 1986).  The moist duff and soil present during spring burns can serve as a heat shield to protect the adventitious buds on rhizomes.  The same duff and soil moisture content is more difficult to achieve in fall burns.</w:t>
      </w:r>
    </w:p>
    <w:p w14:paraId="1E36BBAF" w14:textId="77777777" w:rsidR="00B90A1C" w:rsidRPr="00DD77B1" w:rsidRDefault="00B90A1C" w:rsidP="00650194">
      <w:pPr>
        <w:spacing w:line="276" w:lineRule="auto"/>
        <w:ind w:firstLine="720"/>
      </w:pPr>
      <w:r w:rsidRPr="00DD77B1">
        <w:t xml:space="preserve">The results from </w:t>
      </w:r>
      <w:r>
        <w:t xml:space="preserve">fire </w:t>
      </w:r>
      <w:r w:rsidRPr="00DD77B1">
        <w:t>model</w:t>
      </w:r>
      <w:r>
        <w:t>ing programs</w:t>
      </w:r>
      <w:r w:rsidRPr="00DD77B1">
        <w:t xml:space="preserve"> along with experience were combined to produce these results and recommendations for </w:t>
      </w:r>
      <w:r>
        <w:t xml:space="preserve">using fire as a tool </w:t>
      </w:r>
      <w:r w:rsidR="000709F0">
        <w:t xml:space="preserve">in the proposed units of the </w:t>
      </w:r>
      <w:proofErr w:type="spellStart"/>
      <w:r w:rsidR="000709F0">
        <w:t>Sawtooth</w:t>
      </w:r>
      <w:proofErr w:type="spellEnd"/>
      <w:r w:rsidR="000709F0">
        <w:t xml:space="preserve"> Huckleberry Restoration</w:t>
      </w:r>
      <w:r w:rsidRPr="00DD77B1">
        <w:t>:</w:t>
      </w:r>
    </w:p>
    <w:p w14:paraId="34CAE019" w14:textId="77777777" w:rsidR="00B90A1C" w:rsidRPr="00DD77B1" w:rsidRDefault="00B90A1C" w:rsidP="00650194">
      <w:pPr>
        <w:numPr>
          <w:ilvl w:val="0"/>
          <w:numId w:val="1"/>
        </w:numPr>
        <w:spacing w:line="276" w:lineRule="auto"/>
      </w:pPr>
      <w:r w:rsidRPr="00DD77B1">
        <w:rPr>
          <w:b/>
        </w:rPr>
        <w:t xml:space="preserve">Units 1A, 6, 7, and 11A- </w:t>
      </w:r>
      <w:r w:rsidRPr="00DD77B1">
        <w:t xml:space="preserve">Overall lack of large fire-resistant trees in these stands results in high mortality projections.  </w:t>
      </w:r>
      <w:proofErr w:type="spellStart"/>
      <w:r>
        <w:t>Underb</w:t>
      </w:r>
      <w:r w:rsidRPr="00DD77B1">
        <w:t>urning</w:t>
      </w:r>
      <w:proofErr w:type="spellEnd"/>
      <w:r w:rsidRPr="00DD77B1">
        <w:t xml:space="preserve"> is not recommended in these units unless a significant additional loss of canopy cover is addressed and accepted.</w:t>
      </w:r>
    </w:p>
    <w:p w14:paraId="6603E969" w14:textId="77777777" w:rsidR="00B90A1C" w:rsidRPr="00DD77B1" w:rsidRDefault="00B90A1C" w:rsidP="00650194">
      <w:pPr>
        <w:numPr>
          <w:ilvl w:val="0"/>
          <w:numId w:val="1"/>
        </w:numPr>
        <w:spacing w:line="276" w:lineRule="auto"/>
      </w:pPr>
      <w:r w:rsidRPr="00DD77B1">
        <w:rPr>
          <w:b/>
        </w:rPr>
        <w:t>Units 1B, 2, 3, 4, 5, and 10-</w:t>
      </w:r>
      <w:r w:rsidRPr="00DD77B1">
        <w:t xml:space="preserve"> These units possess potential for burning.  There are some large Douglas-fir trees present, particularly in units 2, 5, and 10, which increases the possibility for canopy cover retention.  In areas where terrain in steep, fuel loading should be reduced to 1.5-4.0 tons </w:t>
      </w:r>
      <w:r>
        <w:t xml:space="preserve">(rather than 2-5) per acre of materials </w:t>
      </w:r>
      <w:r w:rsidRPr="00DD77B1">
        <w:t xml:space="preserve">less than 1 inch in diameter to account for preheating.  Units 4 and 5 contain smaller diameter material than the others, resulting in slightly higher mortality predictions.  Considerations for piling prescriptions include direct site sterilization from localized high intensity heat and compaction in landing areas as evidenced in previously treated units.  </w:t>
      </w:r>
    </w:p>
    <w:p w14:paraId="3F1E422D" w14:textId="77777777" w:rsidR="000709F0" w:rsidRDefault="00B90A1C" w:rsidP="00650194">
      <w:pPr>
        <w:numPr>
          <w:ilvl w:val="0"/>
          <w:numId w:val="1"/>
        </w:numPr>
        <w:spacing w:line="276" w:lineRule="auto"/>
      </w:pPr>
      <w:r w:rsidRPr="00DD77B1">
        <w:rPr>
          <w:b/>
        </w:rPr>
        <w:t>Units 8 and 9-</w:t>
      </w:r>
      <w:r w:rsidRPr="00DD77B1">
        <w:t xml:space="preserve"> The lop and scatter prescription here is appropriate.  These units</w:t>
      </w:r>
      <w:r>
        <w:t xml:space="preserve"> fall within the area of the main </w:t>
      </w:r>
      <w:proofErr w:type="spellStart"/>
      <w:r>
        <w:t>Sawtooth</w:t>
      </w:r>
      <w:proofErr w:type="spellEnd"/>
      <w:r>
        <w:t xml:space="preserve"> Huckleberry fields and a production setback from prescribed fire is undesirable.  Fire hazard created will be negligible based on fuel type and amount and climate in the area.</w:t>
      </w:r>
    </w:p>
    <w:p w14:paraId="06DD9ACF" w14:textId="77777777" w:rsidR="00B90A1C" w:rsidRDefault="00B90A1C" w:rsidP="00650194">
      <w:pPr>
        <w:numPr>
          <w:ilvl w:val="0"/>
          <w:numId w:val="1"/>
        </w:numPr>
        <w:spacing w:line="276" w:lineRule="auto"/>
      </w:pPr>
      <w:r>
        <w:rPr>
          <w:b/>
        </w:rPr>
        <w:t xml:space="preserve">Units 11B-E and 12- </w:t>
      </w:r>
      <w:r>
        <w:t xml:space="preserve">No mortality analysis was done for these small diameter stands because only fixed-plot data were available.  However, the desired post-harvest conditions listed earlier apply to these stands as well if burning is to occur.  The lack of duff in some areas makes the soil subject to more intense heating and the rhizomes more vulnerable to mortality.  The requisite of a light intensity, fast-moving fire is critical in these units to minimize damage to rhizomes and recovery time of huckleberry bushes.  The small size of trees and species composition will result in high mortality.  </w:t>
      </w:r>
    </w:p>
    <w:p w14:paraId="7E889E3C" w14:textId="77777777" w:rsidR="00864B6D" w:rsidRDefault="00864B6D" w:rsidP="00650194">
      <w:pPr>
        <w:spacing w:line="276" w:lineRule="auto"/>
      </w:pPr>
    </w:p>
    <w:p w14:paraId="5A2B55FC" w14:textId="77777777" w:rsidR="00864B6D" w:rsidRDefault="00864B6D" w:rsidP="00650194">
      <w:pPr>
        <w:spacing w:line="276" w:lineRule="auto"/>
        <w:rPr>
          <w:b/>
        </w:rPr>
      </w:pPr>
      <w:r>
        <w:rPr>
          <w:b/>
        </w:rPr>
        <w:t>Fire Effects</w:t>
      </w:r>
    </w:p>
    <w:p w14:paraId="4B8E9DDB" w14:textId="77777777" w:rsidR="0000080D" w:rsidRPr="0000080D" w:rsidRDefault="0000080D" w:rsidP="00650194">
      <w:pPr>
        <w:spacing w:line="276" w:lineRule="auto"/>
        <w:rPr>
          <w:u w:val="single"/>
        </w:rPr>
      </w:pPr>
      <w:r w:rsidRPr="0000080D">
        <w:rPr>
          <w:u w:val="single"/>
        </w:rPr>
        <w:t>Alternative B Direct and Indirect Effects</w:t>
      </w:r>
      <w:r w:rsidR="00864B6D" w:rsidRPr="0000080D">
        <w:tab/>
      </w:r>
    </w:p>
    <w:p w14:paraId="394AB752" w14:textId="77777777" w:rsidR="00864B6D" w:rsidRPr="00DD77B1" w:rsidRDefault="00AA5024" w:rsidP="00650194">
      <w:pPr>
        <w:spacing w:line="276" w:lineRule="auto"/>
        <w:ind w:firstLine="720"/>
      </w:pPr>
      <w:r w:rsidRPr="00F939BE">
        <w:t xml:space="preserve">Alternative B calls for pile burning in Units 1B, 2, </w:t>
      </w:r>
      <w:r w:rsidR="00FD7656" w:rsidRPr="00F939BE">
        <w:t xml:space="preserve">3A, </w:t>
      </w:r>
      <w:r w:rsidRPr="00F939BE">
        <w:t xml:space="preserve">4, 5, 6, 10A, and 10B within 100 feet of </w:t>
      </w:r>
      <w:r w:rsidR="001A6459" w:rsidRPr="00F939BE">
        <w:t>R</w:t>
      </w:r>
      <w:r w:rsidRPr="00F939BE">
        <w:t>oad</w:t>
      </w:r>
      <w:r w:rsidR="001A6459" w:rsidRPr="00F939BE">
        <w:t>s</w:t>
      </w:r>
      <w:r w:rsidRPr="00F939BE">
        <w:t xml:space="preserve"> 24</w:t>
      </w:r>
      <w:r w:rsidR="001A6459" w:rsidRPr="00F939BE">
        <w:t xml:space="preserve">, 30, 210, </w:t>
      </w:r>
      <w:r w:rsidR="00F957D0" w:rsidRPr="00F939BE">
        <w:t xml:space="preserve">Cold Spring Indian Camp, </w:t>
      </w:r>
      <w:r w:rsidR="001A6459" w:rsidRPr="00F939BE">
        <w:t xml:space="preserve">and </w:t>
      </w:r>
      <w:r w:rsidRPr="00F939BE">
        <w:t>Saddle Camp</w:t>
      </w:r>
      <w:r w:rsidR="001A6459" w:rsidRPr="00F939BE">
        <w:t>, and throughout Unit 5 for site preparation</w:t>
      </w:r>
      <w:r w:rsidRPr="00F939BE">
        <w:t xml:space="preserve">.  The potential effects include site sterilization when the burning results in intense and prolonged soil heating </w:t>
      </w:r>
      <w:r w:rsidR="00AC59D1" w:rsidRPr="00F939BE">
        <w:t>(</w:t>
      </w:r>
      <w:r w:rsidR="00F957D0" w:rsidRPr="00F939BE">
        <w:t xml:space="preserve">particularly </w:t>
      </w:r>
      <w:r w:rsidR="00AC59D1" w:rsidRPr="00F939BE">
        <w:t>pile burning)</w:t>
      </w:r>
      <w:r w:rsidR="00CB154B" w:rsidRPr="00F939BE">
        <w:t>, short term changes in microsite composition and characteristics, vegetation mortality, relatively insignificant threats to wildlife, and</w:t>
      </w:r>
      <w:r w:rsidRPr="00F939BE">
        <w:t xml:space="preserve"> </w:t>
      </w:r>
      <w:r w:rsidR="00864B6D" w:rsidRPr="00F939BE">
        <w:t xml:space="preserve">the </w:t>
      </w:r>
      <w:r w:rsidRPr="00F939BE">
        <w:t xml:space="preserve">output </w:t>
      </w:r>
      <w:r w:rsidR="00864B6D" w:rsidRPr="00F939BE">
        <w:t>of greenhouse gases, including</w:t>
      </w:r>
      <w:r w:rsidRPr="00F939BE">
        <w:t xml:space="preserve"> carbon monoxide</w:t>
      </w:r>
      <w:r w:rsidR="00AC59D1" w:rsidRPr="00F939BE">
        <w:t>, nitrous oxides, volatile organic matter,</w:t>
      </w:r>
      <w:r w:rsidR="00864B6D" w:rsidRPr="00F939BE">
        <w:t xml:space="preserve"> and </w:t>
      </w:r>
      <w:r w:rsidR="00864B6D" w:rsidRPr="00F939BE">
        <w:rPr>
          <w:rFonts w:cs="CHANII+TimesNewRoman"/>
          <w:color w:val="000000"/>
        </w:rPr>
        <w:t>particulate matter with aerodynamic diameter less than 2.5 microns (PM</w:t>
      </w:r>
      <w:r w:rsidR="00864B6D" w:rsidRPr="00F939BE">
        <w:rPr>
          <w:rFonts w:cs="CHANII+TimesNewRoman"/>
          <w:color w:val="000000"/>
          <w:vertAlign w:val="subscript"/>
        </w:rPr>
        <w:t>2.5</w:t>
      </w:r>
      <w:r w:rsidR="00864B6D" w:rsidRPr="00F939BE">
        <w:rPr>
          <w:rFonts w:cs="CHANII+TimesNewRoman"/>
          <w:color w:val="000000"/>
        </w:rPr>
        <w:t xml:space="preserve">) and less </w:t>
      </w:r>
      <w:r w:rsidR="00864B6D" w:rsidRPr="00F939BE">
        <w:rPr>
          <w:rFonts w:cs="CHANII+TimesNewRoman"/>
          <w:color w:val="000000"/>
        </w:rPr>
        <w:lastRenderedPageBreak/>
        <w:t>than 10 microns (PM</w:t>
      </w:r>
      <w:r w:rsidR="00864B6D" w:rsidRPr="00F939BE">
        <w:rPr>
          <w:rFonts w:cs="CHANII+TimesNewRoman"/>
          <w:color w:val="000000"/>
          <w:vertAlign w:val="subscript"/>
        </w:rPr>
        <w:t>10</w:t>
      </w:r>
      <w:r w:rsidR="00864B6D" w:rsidRPr="00F939BE">
        <w:rPr>
          <w:rFonts w:cs="CHANII+TimesNewRoman"/>
          <w:color w:val="000000"/>
        </w:rPr>
        <w:t xml:space="preserve">).  </w:t>
      </w:r>
      <w:r w:rsidR="00CB154B" w:rsidRPr="00F939BE">
        <w:rPr>
          <w:rFonts w:cs="CHANII+TimesNewRoman"/>
          <w:color w:val="000000"/>
        </w:rPr>
        <w:t xml:space="preserve">The quantity of emissions is related to the intensity </w:t>
      </w:r>
      <w:r w:rsidR="0000080D">
        <w:rPr>
          <w:rFonts w:cs="CHANII+TimesNewRoman"/>
          <w:color w:val="000000"/>
        </w:rPr>
        <w:t>and</w:t>
      </w:r>
      <w:r w:rsidR="00CB154B" w:rsidRPr="00F939BE">
        <w:rPr>
          <w:rFonts w:cs="CHANII+TimesNewRoman"/>
          <w:color w:val="000000"/>
        </w:rPr>
        <w:t xml:space="preserve"> rate of spread of the fire, which is determined by the weather, fuels and topography.  </w:t>
      </w:r>
      <w:r w:rsidR="00D66D20" w:rsidRPr="00F939BE">
        <w:rPr>
          <w:rFonts w:cs="CHANII+TimesNewRoman"/>
          <w:color w:val="000000"/>
        </w:rPr>
        <w:t xml:space="preserve">Because these factors are highly variable, modeling </w:t>
      </w:r>
      <w:r w:rsidR="005F1E6F" w:rsidRPr="00F939BE">
        <w:rPr>
          <w:rFonts w:cs="CHANII+TimesNewRoman"/>
          <w:color w:val="000000"/>
        </w:rPr>
        <w:t xml:space="preserve">outputs </w:t>
      </w:r>
      <w:r w:rsidR="00D66D20" w:rsidRPr="00F939BE">
        <w:rPr>
          <w:rFonts w:cs="CHANII+TimesNewRoman"/>
          <w:color w:val="000000"/>
        </w:rPr>
        <w:t>fluctuate</w:t>
      </w:r>
      <w:r w:rsidR="005F1E6F" w:rsidRPr="00F939BE">
        <w:rPr>
          <w:rFonts w:cs="CHANII+TimesNewRoman"/>
          <w:color w:val="000000"/>
        </w:rPr>
        <w:t xml:space="preserve"> widely.</w:t>
      </w:r>
      <w:r w:rsidR="00D66D20" w:rsidRPr="00F939BE">
        <w:rPr>
          <w:rFonts w:cs="CHANII+TimesNewRoman"/>
          <w:color w:val="000000"/>
        </w:rPr>
        <w:t xml:space="preserve">  </w:t>
      </w:r>
      <w:r w:rsidR="00864B6D" w:rsidRPr="00F939BE">
        <w:rPr>
          <w:rFonts w:cs="CHANII+TimesNewRoman"/>
          <w:color w:val="000000"/>
        </w:rPr>
        <w:t>All burning operations will comply with the State of Washington Department of Natural Resources Smoke Management Plan</w:t>
      </w:r>
      <w:r w:rsidR="00AC59D1" w:rsidRPr="00F939BE">
        <w:rPr>
          <w:rFonts w:cs="CHANII+TimesNewRoman"/>
          <w:color w:val="000000"/>
        </w:rPr>
        <w:t>,</w:t>
      </w:r>
      <w:r w:rsidR="00864B6D" w:rsidRPr="00F939BE">
        <w:rPr>
          <w:rFonts w:cs="CHANII+TimesNewRoman"/>
          <w:color w:val="000000"/>
        </w:rPr>
        <w:t xml:space="preserve"> which </w:t>
      </w:r>
      <w:r w:rsidR="00864B6D" w:rsidRPr="00F939BE">
        <w:rPr>
          <w:color w:val="000000"/>
        </w:rPr>
        <w:t xml:space="preserve">meets the requirements of the Washington Clean Air Act (RCW 70.94), Forest Protection </w:t>
      </w:r>
      <w:r w:rsidR="005F1E6F" w:rsidRPr="00F939BE">
        <w:rPr>
          <w:color w:val="000000"/>
        </w:rPr>
        <w:t>L</w:t>
      </w:r>
      <w:r w:rsidR="00864B6D" w:rsidRPr="00F939BE">
        <w:rPr>
          <w:color w:val="000000"/>
        </w:rPr>
        <w:t>aws (RCW 76.04), and the United States Clean Air Act (42 USC 7401 et seq.)</w:t>
      </w:r>
      <w:r w:rsidR="00DD77B1" w:rsidRPr="00F939BE">
        <w:rPr>
          <w:color w:val="000000"/>
        </w:rPr>
        <w:t>.</w:t>
      </w:r>
      <w:r w:rsidR="00AC59D1" w:rsidRPr="00F939BE">
        <w:rPr>
          <w:color w:val="000000"/>
        </w:rPr>
        <w:t xml:space="preserve"> </w:t>
      </w:r>
      <w:r w:rsidR="00DD77B1" w:rsidRPr="00F939BE">
        <w:rPr>
          <w:rFonts w:cs="CHANII+TimesNewRoman"/>
          <w:color w:val="000000"/>
        </w:rPr>
        <w:t xml:space="preserve"> S</w:t>
      </w:r>
      <w:r w:rsidR="00AC59D1" w:rsidRPr="00F939BE">
        <w:rPr>
          <w:rFonts w:cs="CHANII+TimesNewRoman"/>
          <w:color w:val="000000"/>
        </w:rPr>
        <w:t>moke emissions will be regulated</w:t>
      </w:r>
      <w:r w:rsidR="00DD77B1" w:rsidRPr="00F939BE">
        <w:rPr>
          <w:rFonts w:cs="CHANII+TimesNewRoman"/>
          <w:color w:val="000000"/>
        </w:rPr>
        <w:t xml:space="preserve"> through compliance with the plan</w:t>
      </w:r>
      <w:r w:rsidR="00864B6D" w:rsidRPr="00F939BE">
        <w:rPr>
          <w:color w:val="000000"/>
        </w:rPr>
        <w:t xml:space="preserve">. </w:t>
      </w:r>
      <w:r w:rsidR="00864B6D" w:rsidRPr="00F939BE">
        <w:t xml:space="preserve"> </w:t>
      </w:r>
      <w:r w:rsidR="0000080D">
        <w:t>In addition, the burn plan will provide for mitigation measures to minimize smoke exposure and fire hazards to firefighting personnel and the public.  These measures include public education</w:t>
      </w:r>
      <w:r w:rsidR="00B90A1C">
        <w:t>, particularly for local communities and to harvesters of special forest products;</w:t>
      </w:r>
      <w:r w:rsidR="0000080D">
        <w:t xml:space="preserve"> clear signage</w:t>
      </w:r>
      <w:r w:rsidR="00B90A1C">
        <w:t>;</w:t>
      </w:r>
      <w:r w:rsidR="0000080D">
        <w:t xml:space="preserve"> </w:t>
      </w:r>
      <w:r w:rsidR="00B90A1C">
        <w:t>abiding by all regulations regarding</w:t>
      </w:r>
      <w:r w:rsidR="0000080D">
        <w:t xml:space="preserve"> burning near the Pacific Crest Trail in units of concern</w:t>
      </w:r>
      <w:r w:rsidR="00B90A1C">
        <w:t>, and closing any road/areas where hazards do exist</w:t>
      </w:r>
      <w:r w:rsidR="0000080D">
        <w:t xml:space="preserve">.  </w:t>
      </w:r>
      <w:r w:rsidR="00B90A1C">
        <w:t xml:space="preserve">The units are sufficient distance from any population centers and will therefore not affect any sensitive communities.  </w:t>
      </w:r>
      <w:r w:rsidR="00AC59D1" w:rsidRPr="00F939BE">
        <w:rPr>
          <w:lang w:val="en"/>
        </w:rPr>
        <w:t>The Intergovernmental Panel on Climate Change (IPCC) has stated "Most of the observed increase in global average temperatures since the mid-20th century is very likely due to the observed increase in anthropogenic greenhouse gas concentrations" (</w:t>
      </w:r>
      <w:r w:rsidR="00AC59D1" w:rsidRPr="00F939BE">
        <w:rPr>
          <w:lang w:val="en"/>
        </w:rPr>
        <w:fldChar w:fldCharType="begin"/>
      </w:r>
      <w:r w:rsidR="00AC59D1" w:rsidRPr="00F939BE">
        <w:rPr>
          <w:lang w:val="en"/>
        </w:rPr>
        <w:instrText xml:space="preserve"> HYPERLINK "http://www.epa.gov/climatechange/science/stateofknowledge.html" \l "ref#ref" </w:instrText>
      </w:r>
      <w:r w:rsidR="00AC59D1" w:rsidRPr="00F939BE">
        <w:rPr>
          <w:lang w:val="en"/>
        </w:rPr>
        <w:fldChar w:fldCharType="separate"/>
      </w:r>
      <w:r w:rsidR="00AC59D1" w:rsidRPr="00F939BE">
        <w:rPr>
          <w:rStyle w:val="Hyperlink"/>
          <w:color w:val="auto"/>
          <w:u w:val="none"/>
          <w:lang w:val="en"/>
        </w:rPr>
        <w:t>IPCC, 2007</w:t>
      </w:r>
      <w:r w:rsidR="00AC59D1" w:rsidRPr="00F939BE">
        <w:rPr>
          <w:lang w:val="en"/>
        </w:rPr>
        <w:fldChar w:fldCharType="end"/>
      </w:r>
      <w:r w:rsidR="00AC59D1" w:rsidRPr="00F939BE">
        <w:rPr>
          <w:lang w:val="en"/>
        </w:rPr>
        <w:t xml:space="preserve">). </w:t>
      </w:r>
      <w:r w:rsidR="00DD77B1" w:rsidRPr="00F939BE">
        <w:rPr>
          <w:lang w:val="en"/>
        </w:rPr>
        <w:t>Scientific</w:t>
      </w:r>
      <w:r w:rsidR="00AC59D1" w:rsidRPr="00F939BE">
        <w:rPr>
          <w:lang w:val="en"/>
        </w:rPr>
        <w:t xml:space="preserve"> analyses </w:t>
      </w:r>
      <w:r w:rsidR="00DD77B1" w:rsidRPr="00F939BE">
        <w:rPr>
          <w:lang w:val="en"/>
        </w:rPr>
        <w:t xml:space="preserve">seem to </w:t>
      </w:r>
      <w:r w:rsidR="00AC59D1" w:rsidRPr="00F939BE">
        <w:rPr>
          <w:lang w:val="en"/>
        </w:rPr>
        <w:t>indicate, but cannot prove</w:t>
      </w:r>
      <w:r w:rsidR="00DD77B1" w:rsidRPr="00F939BE">
        <w:rPr>
          <w:lang w:val="en"/>
        </w:rPr>
        <w:t xml:space="preserve"> at this point</w:t>
      </w:r>
      <w:r w:rsidR="00AC59D1" w:rsidRPr="00F939BE">
        <w:rPr>
          <w:lang w:val="en"/>
        </w:rPr>
        <w:t>, that rising levels of greenhouse gases in the atmosphere are contributing to climate change (as theory predicts).</w:t>
      </w:r>
      <w:r w:rsidR="00DD77B1" w:rsidRPr="00F939BE">
        <w:rPr>
          <w:lang w:val="en"/>
        </w:rPr>
        <w:t xml:space="preserve">  </w:t>
      </w:r>
      <w:r w:rsidR="007767FF" w:rsidRPr="00F939BE">
        <w:rPr>
          <w:lang w:val="en"/>
        </w:rPr>
        <w:t>However</w:t>
      </w:r>
      <w:r w:rsidR="00DD77B1" w:rsidRPr="00F939BE">
        <w:rPr>
          <w:lang w:val="en"/>
        </w:rPr>
        <w:t>, the scale of the project and lack of available data for analysis preclude climate change as a significant issue</w:t>
      </w:r>
      <w:r w:rsidR="00CB154B" w:rsidRPr="00F939BE">
        <w:rPr>
          <w:lang w:val="en"/>
        </w:rPr>
        <w:t xml:space="preserve"> in this project</w:t>
      </w:r>
      <w:r w:rsidR="00DD77B1" w:rsidRPr="00F939BE">
        <w:rPr>
          <w:lang w:val="en"/>
        </w:rPr>
        <w:t>.</w:t>
      </w:r>
      <w:r w:rsidR="0000080D">
        <w:rPr>
          <w:lang w:val="en"/>
        </w:rPr>
        <w:t xml:space="preserve">  </w:t>
      </w:r>
    </w:p>
    <w:p w14:paraId="026799B0" w14:textId="77777777" w:rsidR="0000080D" w:rsidRDefault="0000080D" w:rsidP="00650194">
      <w:pPr>
        <w:spacing w:line="276" w:lineRule="auto"/>
        <w:rPr>
          <w:u w:val="single"/>
        </w:rPr>
      </w:pPr>
    </w:p>
    <w:p w14:paraId="5B7FA0B2" w14:textId="77777777" w:rsidR="0000080D" w:rsidRPr="0000080D" w:rsidRDefault="0000080D" w:rsidP="00650194">
      <w:pPr>
        <w:spacing w:line="276" w:lineRule="auto"/>
        <w:rPr>
          <w:u w:val="single"/>
        </w:rPr>
      </w:pPr>
      <w:r>
        <w:rPr>
          <w:u w:val="single"/>
        </w:rPr>
        <w:t>Alternative C Direct and Indirect Effects</w:t>
      </w:r>
    </w:p>
    <w:p w14:paraId="4A44A981" w14:textId="77777777" w:rsidR="00864B6D" w:rsidRDefault="0000080D" w:rsidP="00650194">
      <w:pPr>
        <w:spacing w:line="276" w:lineRule="auto"/>
        <w:ind w:firstLine="720"/>
      </w:pPr>
      <w:r w:rsidRPr="00F939BE">
        <w:t xml:space="preserve">Alternative C also for pile burning in Units 1B, 3A, 4, 6, and 10B within 100 feet of Roads 24, 30, 210, Cold Spring Indian Camp, and Saddle Camp as well as </w:t>
      </w:r>
      <w:proofErr w:type="spellStart"/>
      <w:r w:rsidRPr="00F939BE">
        <w:t>underburning</w:t>
      </w:r>
      <w:proofErr w:type="spellEnd"/>
      <w:r w:rsidRPr="00F939BE">
        <w:t xml:space="preserve"> 4-8 tons per acre of activity slash in Units 2, 5, 7, 10A, 11A-E, and 12.  </w:t>
      </w:r>
      <w:r w:rsidR="00864B6D" w:rsidRPr="00DD77B1">
        <w:t xml:space="preserve">In the case of Alternative </w:t>
      </w:r>
      <w:r w:rsidR="00CB154B">
        <w:t>C</w:t>
      </w:r>
      <w:r w:rsidR="00864B6D" w:rsidRPr="00DD77B1">
        <w:t xml:space="preserve">, </w:t>
      </w:r>
      <w:r w:rsidR="00DD77B1" w:rsidRPr="00DD77B1">
        <w:t xml:space="preserve">where </w:t>
      </w:r>
      <w:r w:rsidR="00864B6D" w:rsidRPr="00DD77B1">
        <w:t>the use of fire would be maximized in order to utilize it as a tool to meet other treatment objectives, namely huckleberry enhancement</w:t>
      </w:r>
      <w:r w:rsidR="00DD77B1" w:rsidRPr="00DD77B1">
        <w:t>,</w:t>
      </w:r>
      <w:r w:rsidR="00864B6D" w:rsidRPr="00DD77B1">
        <w:t xml:space="preserve"> the effects of this increased use of fire</w:t>
      </w:r>
      <w:r w:rsidR="00DD77B1" w:rsidRPr="00DD77B1">
        <w:t xml:space="preserve"> were analyzed using various software applications.  T</w:t>
      </w:r>
      <w:r w:rsidR="00864B6D" w:rsidRPr="00DD77B1">
        <w:t xml:space="preserve">he First Order Fire Effects Model (FOFEM) was used to examine the probability of overstory tree mortality following prescribed fire </w:t>
      </w:r>
      <w:proofErr w:type="spellStart"/>
      <w:r w:rsidR="00B90A1C">
        <w:t>underburns</w:t>
      </w:r>
      <w:proofErr w:type="spellEnd"/>
      <w:r w:rsidR="00B90A1C">
        <w:t xml:space="preserve"> </w:t>
      </w:r>
      <w:r w:rsidR="00864B6D" w:rsidRPr="00DD77B1">
        <w:t xml:space="preserve">in each of the proposed units of the Sawtooth Huckleberry Restoration project.  The model analyzes the inputs of tree species, diameter, number per acre, height, and crown ratio along with flame length to determine the percent mortality, percent basal area killed, and the percent canopy cover pre and post fire.  Algorithms for fire resistance are built into the program based on factors such as species bark thickness, size, and crown ratio.  The model, BehavePlus, was also used and the outputs compared to those of FOFEM.  BehavePlus serves best as a model for fire spread rather than mortality and tends to overpredict; therefore, the results from BehavePlus were considered secondarily to those of FOFEM.  </w:t>
      </w:r>
    </w:p>
    <w:p w14:paraId="4727865D" w14:textId="77777777" w:rsidR="00864B6D" w:rsidRDefault="00864B6D" w:rsidP="00650194">
      <w:pPr>
        <w:spacing w:line="276" w:lineRule="auto"/>
        <w:ind w:firstLine="720"/>
      </w:pPr>
      <w:r>
        <w:t xml:space="preserve">The leave trees for input into FOFEM were chosen based on a prescription of leaving the largest 48 trees per acre to achieve 25-40% canopy cover.  In areas where the percent canopy cover falls below those levels in the </w:t>
      </w:r>
      <w:r w:rsidR="000709F0">
        <w:t xml:space="preserve">following </w:t>
      </w:r>
      <w:r>
        <w:t xml:space="preserve">chart it is because the leave trees are smaller in those stands so more trees would need to be left to achieve the same amount of canopy cover.  </w:t>
      </w:r>
      <w:r>
        <w:lastRenderedPageBreak/>
        <w:t xml:space="preserve">However, leaving more trees does nothing to the postfire percent canopy cover predictions because the trees left would be of small diameter and highly susceptible to fire.  </w:t>
      </w:r>
    </w:p>
    <w:p w14:paraId="525A8915" w14:textId="77777777" w:rsidR="00864B6D" w:rsidRDefault="00864B6D" w:rsidP="00650194">
      <w:pPr>
        <w:spacing w:line="276" w:lineRule="auto"/>
      </w:pPr>
    </w:p>
    <w:tbl>
      <w:tblPr>
        <w:tblW w:w="9358" w:type="dxa"/>
        <w:tblInd w:w="93" w:type="dxa"/>
        <w:tblLook w:val="0000" w:firstRow="0" w:lastRow="0" w:firstColumn="0" w:lastColumn="0" w:noHBand="0" w:noVBand="0"/>
      </w:tblPr>
      <w:tblGrid>
        <w:gridCol w:w="1060"/>
        <w:gridCol w:w="1080"/>
        <w:gridCol w:w="1133"/>
        <w:gridCol w:w="1360"/>
        <w:gridCol w:w="1620"/>
        <w:gridCol w:w="1740"/>
        <w:gridCol w:w="1365"/>
      </w:tblGrid>
      <w:tr w:rsidR="00864B6D" w14:paraId="07A3FA07" w14:textId="77777777">
        <w:trPr>
          <w:trHeight w:val="420"/>
        </w:trPr>
        <w:tc>
          <w:tcPr>
            <w:tcW w:w="9358" w:type="dxa"/>
            <w:gridSpan w:val="7"/>
            <w:tcBorders>
              <w:top w:val="nil"/>
              <w:left w:val="nil"/>
              <w:bottom w:val="single" w:sz="4" w:space="0" w:color="auto"/>
              <w:right w:val="nil"/>
            </w:tcBorders>
            <w:noWrap/>
            <w:vAlign w:val="center"/>
          </w:tcPr>
          <w:p w14:paraId="7649C8A9" w14:textId="77777777" w:rsidR="00864B6D" w:rsidRDefault="00864B6D" w:rsidP="00650194">
            <w:pPr>
              <w:spacing w:line="276" w:lineRule="auto"/>
              <w:jc w:val="center"/>
              <w:rPr>
                <w:rFonts w:ascii="Arial" w:hAnsi="Arial" w:cs="Arial"/>
                <w:b/>
                <w:bCs/>
              </w:rPr>
            </w:pPr>
            <w:r>
              <w:rPr>
                <w:rFonts w:ascii="Arial" w:hAnsi="Arial" w:cs="Arial"/>
                <w:b/>
                <w:bCs/>
              </w:rPr>
              <w:t>MORTALITY SUMMARY BY UNIT AND FLAME LENGTH</w:t>
            </w:r>
          </w:p>
        </w:tc>
      </w:tr>
      <w:tr w:rsidR="00864B6D" w14:paraId="2E2697BD" w14:textId="77777777">
        <w:trPr>
          <w:trHeight w:val="915"/>
        </w:trPr>
        <w:tc>
          <w:tcPr>
            <w:tcW w:w="1060" w:type="dxa"/>
            <w:tcBorders>
              <w:top w:val="nil"/>
              <w:left w:val="single" w:sz="4" w:space="0" w:color="auto"/>
              <w:bottom w:val="double" w:sz="6" w:space="0" w:color="auto"/>
              <w:right w:val="single" w:sz="4" w:space="0" w:color="auto"/>
            </w:tcBorders>
            <w:vAlign w:val="bottom"/>
          </w:tcPr>
          <w:p w14:paraId="38BB911F"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Unit</w:t>
            </w:r>
          </w:p>
        </w:tc>
        <w:tc>
          <w:tcPr>
            <w:tcW w:w="1080" w:type="dxa"/>
            <w:tcBorders>
              <w:top w:val="nil"/>
              <w:left w:val="nil"/>
              <w:bottom w:val="double" w:sz="6" w:space="0" w:color="auto"/>
              <w:right w:val="single" w:sz="4" w:space="0" w:color="auto"/>
            </w:tcBorders>
            <w:vAlign w:val="bottom"/>
          </w:tcPr>
          <w:p w14:paraId="0EBB1D0B"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Flame Length</w:t>
            </w:r>
          </w:p>
        </w:tc>
        <w:tc>
          <w:tcPr>
            <w:tcW w:w="1133" w:type="dxa"/>
            <w:tcBorders>
              <w:top w:val="nil"/>
              <w:left w:val="nil"/>
              <w:bottom w:val="double" w:sz="6" w:space="0" w:color="auto"/>
              <w:right w:val="single" w:sz="4" w:space="0" w:color="auto"/>
            </w:tcBorders>
            <w:vAlign w:val="bottom"/>
          </w:tcPr>
          <w:p w14:paraId="3B55ED1D"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 Mortality</w:t>
            </w:r>
          </w:p>
        </w:tc>
        <w:tc>
          <w:tcPr>
            <w:tcW w:w="1360" w:type="dxa"/>
            <w:tcBorders>
              <w:top w:val="nil"/>
              <w:left w:val="nil"/>
              <w:bottom w:val="double" w:sz="6" w:space="0" w:color="auto"/>
              <w:right w:val="single" w:sz="4" w:space="0" w:color="auto"/>
            </w:tcBorders>
            <w:vAlign w:val="bottom"/>
          </w:tcPr>
          <w:p w14:paraId="6A763B43"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Basal Area % Killed</w:t>
            </w:r>
          </w:p>
        </w:tc>
        <w:tc>
          <w:tcPr>
            <w:tcW w:w="1620" w:type="dxa"/>
            <w:tcBorders>
              <w:top w:val="nil"/>
              <w:left w:val="nil"/>
              <w:bottom w:val="double" w:sz="6" w:space="0" w:color="auto"/>
              <w:right w:val="single" w:sz="4" w:space="0" w:color="auto"/>
            </w:tcBorders>
            <w:vAlign w:val="bottom"/>
          </w:tcPr>
          <w:p w14:paraId="54CC6F5A"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 Canopy Cover  Prefire</w:t>
            </w:r>
          </w:p>
        </w:tc>
        <w:tc>
          <w:tcPr>
            <w:tcW w:w="1740" w:type="dxa"/>
            <w:tcBorders>
              <w:top w:val="nil"/>
              <w:left w:val="nil"/>
              <w:bottom w:val="double" w:sz="6" w:space="0" w:color="auto"/>
              <w:right w:val="single" w:sz="4" w:space="0" w:color="auto"/>
            </w:tcBorders>
            <w:vAlign w:val="bottom"/>
          </w:tcPr>
          <w:p w14:paraId="41D8ACC2"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 Canopy Cover Postfire</w:t>
            </w:r>
          </w:p>
        </w:tc>
        <w:tc>
          <w:tcPr>
            <w:tcW w:w="1365" w:type="dxa"/>
            <w:tcBorders>
              <w:top w:val="nil"/>
              <w:left w:val="nil"/>
              <w:bottom w:val="double" w:sz="6" w:space="0" w:color="auto"/>
              <w:right w:val="single" w:sz="4" w:space="0" w:color="auto"/>
            </w:tcBorders>
            <w:vAlign w:val="bottom"/>
          </w:tcPr>
          <w:p w14:paraId="306858E2" w14:textId="77777777" w:rsidR="00864B6D" w:rsidRDefault="00864B6D" w:rsidP="00650194">
            <w:pPr>
              <w:spacing w:line="276" w:lineRule="auto"/>
              <w:jc w:val="center"/>
              <w:rPr>
                <w:rFonts w:ascii="Arial" w:hAnsi="Arial" w:cs="Arial"/>
                <w:b/>
                <w:bCs/>
                <w:sz w:val="22"/>
                <w:szCs w:val="22"/>
              </w:rPr>
            </w:pPr>
            <w:r>
              <w:rPr>
                <w:rFonts w:ascii="Arial" w:hAnsi="Arial" w:cs="Arial"/>
                <w:b/>
                <w:bCs/>
                <w:sz w:val="22"/>
                <w:szCs w:val="22"/>
              </w:rPr>
              <w:t>Burnability</w:t>
            </w:r>
          </w:p>
        </w:tc>
      </w:tr>
      <w:tr w:rsidR="00864B6D" w14:paraId="3C098988"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19980BF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1A</w:t>
            </w:r>
          </w:p>
        </w:tc>
        <w:tc>
          <w:tcPr>
            <w:tcW w:w="1080" w:type="dxa"/>
            <w:tcBorders>
              <w:top w:val="nil"/>
              <w:left w:val="nil"/>
              <w:bottom w:val="single" w:sz="4" w:space="0" w:color="auto"/>
              <w:right w:val="single" w:sz="4" w:space="0" w:color="auto"/>
            </w:tcBorders>
            <w:noWrap/>
            <w:vAlign w:val="bottom"/>
          </w:tcPr>
          <w:p w14:paraId="7911036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1CBCC1D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23</w:t>
            </w:r>
          </w:p>
        </w:tc>
        <w:tc>
          <w:tcPr>
            <w:tcW w:w="1360" w:type="dxa"/>
            <w:tcBorders>
              <w:top w:val="nil"/>
              <w:left w:val="nil"/>
              <w:bottom w:val="single" w:sz="4" w:space="0" w:color="auto"/>
              <w:right w:val="single" w:sz="4" w:space="0" w:color="auto"/>
            </w:tcBorders>
            <w:noWrap/>
            <w:vAlign w:val="bottom"/>
          </w:tcPr>
          <w:p w14:paraId="10642D5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620" w:type="dxa"/>
            <w:tcBorders>
              <w:top w:val="nil"/>
              <w:left w:val="nil"/>
              <w:bottom w:val="single" w:sz="4" w:space="0" w:color="auto"/>
              <w:right w:val="single" w:sz="4" w:space="0" w:color="auto"/>
            </w:tcBorders>
            <w:noWrap/>
            <w:vAlign w:val="bottom"/>
          </w:tcPr>
          <w:p w14:paraId="6E2C483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22</w:t>
            </w:r>
          </w:p>
        </w:tc>
        <w:tc>
          <w:tcPr>
            <w:tcW w:w="1740" w:type="dxa"/>
            <w:tcBorders>
              <w:top w:val="nil"/>
              <w:left w:val="nil"/>
              <w:bottom w:val="single" w:sz="4" w:space="0" w:color="auto"/>
              <w:right w:val="single" w:sz="4" w:space="0" w:color="auto"/>
            </w:tcBorders>
            <w:noWrap/>
            <w:vAlign w:val="bottom"/>
          </w:tcPr>
          <w:p w14:paraId="33DAFEC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18</w:t>
            </w:r>
          </w:p>
        </w:tc>
        <w:tc>
          <w:tcPr>
            <w:tcW w:w="1365" w:type="dxa"/>
            <w:tcBorders>
              <w:top w:val="nil"/>
              <w:left w:val="nil"/>
              <w:bottom w:val="single" w:sz="4" w:space="0" w:color="auto"/>
              <w:right w:val="single" w:sz="4" w:space="0" w:color="auto"/>
            </w:tcBorders>
            <w:noWrap/>
            <w:vAlign w:val="bottom"/>
          </w:tcPr>
          <w:p w14:paraId="736D1D4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low</w:t>
            </w:r>
          </w:p>
        </w:tc>
      </w:tr>
      <w:tr w:rsidR="00864B6D" w14:paraId="11B62AF7"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54EE04B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1A</w:t>
            </w:r>
          </w:p>
        </w:tc>
        <w:tc>
          <w:tcPr>
            <w:tcW w:w="1080" w:type="dxa"/>
            <w:tcBorders>
              <w:top w:val="nil"/>
              <w:left w:val="nil"/>
              <w:bottom w:val="single" w:sz="4" w:space="0" w:color="auto"/>
              <w:right w:val="single" w:sz="4" w:space="0" w:color="auto"/>
            </w:tcBorders>
            <w:noWrap/>
            <w:vAlign w:val="bottom"/>
          </w:tcPr>
          <w:p w14:paraId="4A38BAC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7D6312C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37</w:t>
            </w:r>
          </w:p>
        </w:tc>
        <w:tc>
          <w:tcPr>
            <w:tcW w:w="1360" w:type="dxa"/>
            <w:tcBorders>
              <w:top w:val="nil"/>
              <w:left w:val="nil"/>
              <w:bottom w:val="single" w:sz="4" w:space="0" w:color="auto"/>
              <w:right w:val="single" w:sz="4" w:space="0" w:color="auto"/>
            </w:tcBorders>
            <w:noWrap/>
            <w:vAlign w:val="bottom"/>
          </w:tcPr>
          <w:p w14:paraId="5CD440F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31</w:t>
            </w:r>
          </w:p>
        </w:tc>
        <w:tc>
          <w:tcPr>
            <w:tcW w:w="1620" w:type="dxa"/>
            <w:tcBorders>
              <w:top w:val="nil"/>
              <w:left w:val="nil"/>
              <w:bottom w:val="single" w:sz="4" w:space="0" w:color="auto"/>
              <w:right w:val="single" w:sz="4" w:space="0" w:color="auto"/>
            </w:tcBorders>
            <w:noWrap/>
            <w:vAlign w:val="bottom"/>
          </w:tcPr>
          <w:p w14:paraId="55CE554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22</w:t>
            </w:r>
          </w:p>
        </w:tc>
        <w:tc>
          <w:tcPr>
            <w:tcW w:w="1740" w:type="dxa"/>
            <w:tcBorders>
              <w:top w:val="nil"/>
              <w:left w:val="nil"/>
              <w:bottom w:val="single" w:sz="4" w:space="0" w:color="auto"/>
              <w:right w:val="single" w:sz="4" w:space="0" w:color="auto"/>
            </w:tcBorders>
            <w:noWrap/>
            <w:vAlign w:val="bottom"/>
          </w:tcPr>
          <w:p w14:paraId="67AA21B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15</w:t>
            </w:r>
          </w:p>
        </w:tc>
        <w:tc>
          <w:tcPr>
            <w:tcW w:w="1365" w:type="dxa"/>
            <w:tcBorders>
              <w:top w:val="nil"/>
              <w:left w:val="nil"/>
              <w:bottom w:val="single" w:sz="4" w:space="0" w:color="auto"/>
              <w:right w:val="single" w:sz="4" w:space="0" w:color="auto"/>
            </w:tcBorders>
            <w:noWrap/>
            <w:vAlign w:val="bottom"/>
          </w:tcPr>
          <w:p w14:paraId="04DC47A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1976374B"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149AEFE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1A</w:t>
            </w:r>
          </w:p>
        </w:tc>
        <w:tc>
          <w:tcPr>
            <w:tcW w:w="1080" w:type="dxa"/>
            <w:tcBorders>
              <w:top w:val="nil"/>
              <w:left w:val="nil"/>
              <w:bottom w:val="single" w:sz="4" w:space="0" w:color="auto"/>
              <w:right w:val="single" w:sz="4" w:space="0" w:color="auto"/>
            </w:tcBorders>
            <w:noWrap/>
            <w:vAlign w:val="bottom"/>
          </w:tcPr>
          <w:p w14:paraId="16F2C7F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7AEE0E0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80</w:t>
            </w:r>
          </w:p>
        </w:tc>
        <w:tc>
          <w:tcPr>
            <w:tcW w:w="1360" w:type="dxa"/>
            <w:tcBorders>
              <w:top w:val="nil"/>
              <w:left w:val="nil"/>
              <w:bottom w:val="single" w:sz="4" w:space="0" w:color="auto"/>
              <w:right w:val="single" w:sz="4" w:space="0" w:color="auto"/>
            </w:tcBorders>
            <w:noWrap/>
            <w:vAlign w:val="bottom"/>
          </w:tcPr>
          <w:p w14:paraId="199DA87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79</w:t>
            </w:r>
          </w:p>
        </w:tc>
        <w:tc>
          <w:tcPr>
            <w:tcW w:w="1620" w:type="dxa"/>
            <w:tcBorders>
              <w:top w:val="nil"/>
              <w:left w:val="nil"/>
              <w:bottom w:val="single" w:sz="4" w:space="0" w:color="auto"/>
              <w:right w:val="single" w:sz="4" w:space="0" w:color="auto"/>
            </w:tcBorders>
            <w:noWrap/>
            <w:vAlign w:val="bottom"/>
          </w:tcPr>
          <w:p w14:paraId="5055C43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22</w:t>
            </w:r>
          </w:p>
        </w:tc>
        <w:tc>
          <w:tcPr>
            <w:tcW w:w="1740" w:type="dxa"/>
            <w:tcBorders>
              <w:top w:val="nil"/>
              <w:left w:val="nil"/>
              <w:bottom w:val="single" w:sz="4" w:space="0" w:color="auto"/>
              <w:right w:val="single" w:sz="4" w:space="0" w:color="auto"/>
            </w:tcBorders>
            <w:noWrap/>
            <w:vAlign w:val="bottom"/>
          </w:tcPr>
          <w:p w14:paraId="05552EA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365" w:type="dxa"/>
            <w:tcBorders>
              <w:top w:val="nil"/>
              <w:left w:val="nil"/>
              <w:bottom w:val="single" w:sz="4" w:space="0" w:color="auto"/>
              <w:right w:val="single" w:sz="4" w:space="0" w:color="auto"/>
            </w:tcBorders>
            <w:noWrap/>
            <w:vAlign w:val="bottom"/>
          </w:tcPr>
          <w:p w14:paraId="2FEC5B4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15417A95"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6733E7D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4D51709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4859B3D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345413A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1883708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0581742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5251554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77B28AB6"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0C086E4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1B</w:t>
            </w:r>
          </w:p>
        </w:tc>
        <w:tc>
          <w:tcPr>
            <w:tcW w:w="1080" w:type="dxa"/>
            <w:tcBorders>
              <w:top w:val="nil"/>
              <w:left w:val="nil"/>
              <w:bottom w:val="single" w:sz="4" w:space="0" w:color="auto"/>
              <w:right w:val="single" w:sz="4" w:space="0" w:color="auto"/>
            </w:tcBorders>
            <w:noWrap/>
            <w:vAlign w:val="bottom"/>
          </w:tcPr>
          <w:p w14:paraId="3A7BBD4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3819806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360" w:type="dxa"/>
            <w:tcBorders>
              <w:top w:val="nil"/>
              <w:left w:val="nil"/>
              <w:bottom w:val="single" w:sz="4" w:space="0" w:color="auto"/>
              <w:right w:val="single" w:sz="4" w:space="0" w:color="auto"/>
            </w:tcBorders>
            <w:noWrap/>
            <w:vAlign w:val="bottom"/>
          </w:tcPr>
          <w:p w14:paraId="455F8B9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620" w:type="dxa"/>
            <w:tcBorders>
              <w:top w:val="nil"/>
              <w:left w:val="nil"/>
              <w:bottom w:val="single" w:sz="4" w:space="0" w:color="auto"/>
              <w:right w:val="single" w:sz="4" w:space="0" w:color="auto"/>
            </w:tcBorders>
            <w:noWrap/>
            <w:vAlign w:val="bottom"/>
          </w:tcPr>
          <w:p w14:paraId="7D7B051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737EDFA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21</w:t>
            </w:r>
          </w:p>
        </w:tc>
        <w:tc>
          <w:tcPr>
            <w:tcW w:w="1365" w:type="dxa"/>
            <w:tcBorders>
              <w:top w:val="nil"/>
              <w:left w:val="nil"/>
              <w:bottom w:val="single" w:sz="4" w:space="0" w:color="auto"/>
              <w:right w:val="single" w:sz="4" w:space="0" w:color="auto"/>
            </w:tcBorders>
            <w:noWrap/>
            <w:vAlign w:val="bottom"/>
          </w:tcPr>
          <w:p w14:paraId="6557E32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moderate</w:t>
            </w:r>
          </w:p>
        </w:tc>
      </w:tr>
      <w:tr w:rsidR="00864B6D" w14:paraId="16BE475D"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17805AC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1B</w:t>
            </w:r>
          </w:p>
        </w:tc>
        <w:tc>
          <w:tcPr>
            <w:tcW w:w="1080" w:type="dxa"/>
            <w:tcBorders>
              <w:top w:val="nil"/>
              <w:left w:val="nil"/>
              <w:bottom w:val="single" w:sz="4" w:space="0" w:color="auto"/>
              <w:right w:val="single" w:sz="4" w:space="0" w:color="auto"/>
            </w:tcBorders>
            <w:noWrap/>
            <w:vAlign w:val="bottom"/>
          </w:tcPr>
          <w:p w14:paraId="32269B0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0E15E0C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360" w:type="dxa"/>
            <w:tcBorders>
              <w:top w:val="nil"/>
              <w:left w:val="nil"/>
              <w:bottom w:val="single" w:sz="4" w:space="0" w:color="auto"/>
              <w:right w:val="single" w:sz="4" w:space="0" w:color="auto"/>
            </w:tcBorders>
            <w:noWrap/>
            <w:vAlign w:val="bottom"/>
          </w:tcPr>
          <w:p w14:paraId="785D744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620" w:type="dxa"/>
            <w:tcBorders>
              <w:top w:val="nil"/>
              <w:left w:val="nil"/>
              <w:bottom w:val="single" w:sz="4" w:space="0" w:color="auto"/>
              <w:right w:val="single" w:sz="4" w:space="0" w:color="auto"/>
            </w:tcBorders>
            <w:noWrap/>
            <w:vAlign w:val="bottom"/>
          </w:tcPr>
          <w:p w14:paraId="3442D24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0289219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20</w:t>
            </w:r>
          </w:p>
        </w:tc>
        <w:tc>
          <w:tcPr>
            <w:tcW w:w="1365" w:type="dxa"/>
            <w:tcBorders>
              <w:top w:val="nil"/>
              <w:left w:val="nil"/>
              <w:bottom w:val="single" w:sz="4" w:space="0" w:color="auto"/>
              <w:right w:val="single" w:sz="4" w:space="0" w:color="auto"/>
            </w:tcBorders>
            <w:noWrap/>
            <w:vAlign w:val="bottom"/>
          </w:tcPr>
          <w:p w14:paraId="61DA821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3526DC11"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1CC4877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1B</w:t>
            </w:r>
          </w:p>
        </w:tc>
        <w:tc>
          <w:tcPr>
            <w:tcW w:w="1080" w:type="dxa"/>
            <w:tcBorders>
              <w:top w:val="nil"/>
              <w:left w:val="nil"/>
              <w:bottom w:val="single" w:sz="4" w:space="0" w:color="auto"/>
              <w:right w:val="single" w:sz="4" w:space="0" w:color="auto"/>
            </w:tcBorders>
            <w:noWrap/>
            <w:vAlign w:val="bottom"/>
          </w:tcPr>
          <w:p w14:paraId="3A8CA68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40DE91B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53</w:t>
            </w:r>
          </w:p>
        </w:tc>
        <w:tc>
          <w:tcPr>
            <w:tcW w:w="1360" w:type="dxa"/>
            <w:tcBorders>
              <w:top w:val="nil"/>
              <w:left w:val="nil"/>
              <w:bottom w:val="single" w:sz="4" w:space="0" w:color="auto"/>
              <w:right w:val="single" w:sz="4" w:space="0" w:color="auto"/>
            </w:tcBorders>
            <w:noWrap/>
            <w:vAlign w:val="bottom"/>
          </w:tcPr>
          <w:p w14:paraId="3589FF0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54</w:t>
            </w:r>
          </w:p>
        </w:tc>
        <w:tc>
          <w:tcPr>
            <w:tcW w:w="1620" w:type="dxa"/>
            <w:tcBorders>
              <w:top w:val="nil"/>
              <w:left w:val="nil"/>
              <w:bottom w:val="single" w:sz="4" w:space="0" w:color="auto"/>
              <w:right w:val="single" w:sz="4" w:space="0" w:color="auto"/>
            </w:tcBorders>
            <w:noWrap/>
            <w:vAlign w:val="bottom"/>
          </w:tcPr>
          <w:p w14:paraId="0A09F46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3AF10D9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10</w:t>
            </w:r>
          </w:p>
        </w:tc>
        <w:tc>
          <w:tcPr>
            <w:tcW w:w="1365" w:type="dxa"/>
            <w:tcBorders>
              <w:top w:val="nil"/>
              <w:left w:val="nil"/>
              <w:bottom w:val="single" w:sz="4" w:space="0" w:color="auto"/>
              <w:right w:val="single" w:sz="4" w:space="0" w:color="auto"/>
            </w:tcBorders>
            <w:noWrap/>
            <w:vAlign w:val="bottom"/>
          </w:tcPr>
          <w:p w14:paraId="4CA370B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258A6D93"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ED540A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461D532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6E0AEF6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348E46A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5138B25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071F306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529126C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4F5FB8F4"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A9A77D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noWrap/>
            <w:vAlign w:val="bottom"/>
          </w:tcPr>
          <w:p w14:paraId="22F4725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16D3110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7</w:t>
            </w:r>
          </w:p>
        </w:tc>
        <w:tc>
          <w:tcPr>
            <w:tcW w:w="1360" w:type="dxa"/>
            <w:tcBorders>
              <w:top w:val="nil"/>
              <w:left w:val="nil"/>
              <w:bottom w:val="single" w:sz="4" w:space="0" w:color="auto"/>
              <w:right w:val="single" w:sz="4" w:space="0" w:color="auto"/>
            </w:tcBorders>
            <w:noWrap/>
            <w:vAlign w:val="bottom"/>
          </w:tcPr>
          <w:p w14:paraId="3A42085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w:t>
            </w:r>
          </w:p>
        </w:tc>
        <w:tc>
          <w:tcPr>
            <w:tcW w:w="1620" w:type="dxa"/>
            <w:tcBorders>
              <w:top w:val="nil"/>
              <w:left w:val="nil"/>
              <w:bottom w:val="single" w:sz="4" w:space="0" w:color="auto"/>
              <w:right w:val="single" w:sz="4" w:space="0" w:color="auto"/>
            </w:tcBorders>
            <w:noWrap/>
            <w:vAlign w:val="bottom"/>
          </w:tcPr>
          <w:p w14:paraId="1246218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43</w:t>
            </w:r>
          </w:p>
        </w:tc>
        <w:tc>
          <w:tcPr>
            <w:tcW w:w="1740" w:type="dxa"/>
            <w:tcBorders>
              <w:top w:val="nil"/>
              <w:left w:val="nil"/>
              <w:bottom w:val="single" w:sz="4" w:space="0" w:color="auto"/>
              <w:right w:val="single" w:sz="4" w:space="0" w:color="auto"/>
            </w:tcBorders>
            <w:noWrap/>
            <w:vAlign w:val="bottom"/>
          </w:tcPr>
          <w:p w14:paraId="27804B6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41</w:t>
            </w:r>
          </w:p>
        </w:tc>
        <w:tc>
          <w:tcPr>
            <w:tcW w:w="1365" w:type="dxa"/>
            <w:tcBorders>
              <w:top w:val="nil"/>
              <w:left w:val="nil"/>
              <w:bottom w:val="single" w:sz="4" w:space="0" w:color="auto"/>
              <w:right w:val="single" w:sz="4" w:space="0" w:color="auto"/>
            </w:tcBorders>
            <w:noWrap/>
            <w:vAlign w:val="bottom"/>
          </w:tcPr>
          <w:p w14:paraId="7FD9535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high</w:t>
            </w:r>
          </w:p>
        </w:tc>
      </w:tr>
      <w:tr w:rsidR="00864B6D" w14:paraId="1E692544"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6473BE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noWrap/>
            <w:vAlign w:val="bottom"/>
          </w:tcPr>
          <w:p w14:paraId="15D145B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186D281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7</w:t>
            </w:r>
          </w:p>
        </w:tc>
        <w:tc>
          <w:tcPr>
            <w:tcW w:w="1360" w:type="dxa"/>
            <w:tcBorders>
              <w:top w:val="nil"/>
              <w:left w:val="nil"/>
              <w:bottom w:val="single" w:sz="4" w:space="0" w:color="auto"/>
              <w:right w:val="single" w:sz="4" w:space="0" w:color="auto"/>
            </w:tcBorders>
            <w:noWrap/>
            <w:vAlign w:val="bottom"/>
          </w:tcPr>
          <w:p w14:paraId="2EA70E2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w:t>
            </w:r>
          </w:p>
        </w:tc>
        <w:tc>
          <w:tcPr>
            <w:tcW w:w="1620" w:type="dxa"/>
            <w:tcBorders>
              <w:top w:val="nil"/>
              <w:left w:val="nil"/>
              <w:bottom w:val="single" w:sz="4" w:space="0" w:color="auto"/>
              <w:right w:val="single" w:sz="4" w:space="0" w:color="auto"/>
            </w:tcBorders>
            <w:noWrap/>
            <w:vAlign w:val="bottom"/>
          </w:tcPr>
          <w:p w14:paraId="59D709A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43</w:t>
            </w:r>
          </w:p>
        </w:tc>
        <w:tc>
          <w:tcPr>
            <w:tcW w:w="1740" w:type="dxa"/>
            <w:tcBorders>
              <w:top w:val="nil"/>
              <w:left w:val="nil"/>
              <w:bottom w:val="single" w:sz="4" w:space="0" w:color="auto"/>
              <w:right w:val="single" w:sz="4" w:space="0" w:color="auto"/>
            </w:tcBorders>
            <w:noWrap/>
            <w:vAlign w:val="bottom"/>
          </w:tcPr>
          <w:p w14:paraId="2999D51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41</w:t>
            </w:r>
          </w:p>
        </w:tc>
        <w:tc>
          <w:tcPr>
            <w:tcW w:w="1365" w:type="dxa"/>
            <w:tcBorders>
              <w:top w:val="nil"/>
              <w:left w:val="nil"/>
              <w:bottom w:val="single" w:sz="4" w:space="0" w:color="auto"/>
              <w:right w:val="single" w:sz="4" w:space="0" w:color="auto"/>
            </w:tcBorders>
            <w:noWrap/>
            <w:vAlign w:val="bottom"/>
          </w:tcPr>
          <w:p w14:paraId="0D9168A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2A0FDAF0"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2C75D9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noWrap/>
            <w:vAlign w:val="bottom"/>
          </w:tcPr>
          <w:p w14:paraId="755D88E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2059B7B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12</w:t>
            </w:r>
          </w:p>
        </w:tc>
        <w:tc>
          <w:tcPr>
            <w:tcW w:w="1360" w:type="dxa"/>
            <w:tcBorders>
              <w:top w:val="nil"/>
              <w:left w:val="nil"/>
              <w:bottom w:val="single" w:sz="4" w:space="0" w:color="auto"/>
              <w:right w:val="single" w:sz="4" w:space="0" w:color="auto"/>
            </w:tcBorders>
            <w:noWrap/>
            <w:vAlign w:val="bottom"/>
          </w:tcPr>
          <w:p w14:paraId="2CEAEC4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8</w:t>
            </w:r>
          </w:p>
        </w:tc>
        <w:tc>
          <w:tcPr>
            <w:tcW w:w="1620" w:type="dxa"/>
            <w:tcBorders>
              <w:top w:val="nil"/>
              <w:left w:val="nil"/>
              <w:bottom w:val="single" w:sz="4" w:space="0" w:color="auto"/>
              <w:right w:val="single" w:sz="4" w:space="0" w:color="auto"/>
            </w:tcBorders>
            <w:noWrap/>
            <w:vAlign w:val="bottom"/>
          </w:tcPr>
          <w:p w14:paraId="4B77747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43</w:t>
            </w:r>
          </w:p>
        </w:tc>
        <w:tc>
          <w:tcPr>
            <w:tcW w:w="1740" w:type="dxa"/>
            <w:tcBorders>
              <w:top w:val="nil"/>
              <w:left w:val="nil"/>
              <w:bottom w:val="single" w:sz="4" w:space="0" w:color="auto"/>
              <w:right w:val="single" w:sz="4" w:space="0" w:color="auto"/>
            </w:tcBorders>
            <w:noWrap/>
            <w:vAlign w:val="bottom"/>
          </w:tcPr>
          <w:p w14:paraId="40BB480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40</w:t>
            </w:r>
          </w:p>
        </w:tc>
        <w:tc>
          <w:tcPr>
            <w:tcW w:w="1365" w:type="dxa"/>
            <w:tcBorders>
              <w:top w:val="nil"/>
              <w:left w:val="nil"/>
              <w:bottom w:val="single" w:sz="4" w:space="0" w:color="auto"/>
              <w:right w:val="single" w:sz="4" w:space="0" w:color="auto"/>
            </w:tcBorders>
            <w:noWrap/>
            <w:vAlign w:val="bottom"/>
          </w:tcPr>
          <w:p w14:paraId="6BC61B3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7A8154BE"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3D4EF2B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18C1516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4B5CEC3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46DE768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5F7631F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5467ECE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31F7624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09AA5942"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E9CE3E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w:t>
            </w:r>
          </w:p>
        </w:tc>
        <w:tc>
          <w:tcPr>
            <w:tcW w:w="1080" w:type="dxa"/>
            <w:tcBorders>
              <w:top w:val="nil"/>
              <w:left w:val="nil"/>
              <w:bottom w:val="single" w:sz="4" w:space="0" w:color="auto"/>
              <w:right w:val="single" w:sz="4" w:space="0" w:color="auto"/>
            </w:tcBorders>
            <w:noWrap/>
            <w:vAlign w:val="bottom"/>
          </w:tcPr>
          <w:p w14:paraId="73DFD78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6D5C423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12</w:t>
            </w:r>
          </w:p>
        </w:tc>
        <w:tc>
          <w:tcPr>
            <w:tcW w:w="1360" w:type="dxa"/>
            <w:tcBorders>
              <w:top w:val="nil"/>
              <w:left w:val="nil"/>
              <w:bottom w:val="single" w:sz="4" w:space="0" w:color="auto"/>
              <w:right w:val="single" w:sz="4" w:space="0" w:color="auto"/>
            </w:tcBorders>
            <w:noWrap/>
            <w:vAlign w:val="bottom"/>
          </w:tcPr>
          <w:p w14:paraId="0766031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10</w:t>
            </w:r>
          </w:p>
        </w:tc>
        <w:tc>
          <w:tcPr>
            <w:tcW w:w="1620" w:type="dxa"/>
            <w:tcBorders>
              <w:top w:val="nil"/>
              <w:left w:val="nil"/>
              <w:bottom w:val="single" w:sz="4" w:space="0" w:color="auto"/>
              <w:right w:val="single" w:sz="4" w:space="0" w:color="auto"/>
            </w:tcBorders>
            <w:noWrap/>
            <w:vAlign w:val="bottom"/>
          </w:tcPr>
          <w:p w14:paraId="6F91569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32</w:t>
            </w:r>
          </w:p>
        </w:tc>
        <w:tc>
          <w:tcPr>
            <w:tcW w:w="1740" w:type="dxa"/>
            <w:tcBorders>
              <w:top w:val="nil"/>
              <w:left w:val="nil"/>
              <w:bottom w:val="single" w:sz="4" w:space="0" w:color="auto"/>
              <w:right w:val="single" w:sz="4" w:space="0" w:color="auto"/>
            </w:tcBorders>
            <w:noWrap/>
            <w:vAlign w:val="bottom"/>
          </w:tcPr>
          <w:p w14:paraId="35B45C9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29</w:t>
            </w:r>
          </w:p>
        </w:tc>
        <w:tc>
          <w:tcPr>
            <w:tcW w:w="1365" w:type="dxa"/>
            <w:tcBorders>
              <w:top w:val="nil"/>
              <w:left w:val="nil"/>
              <w:bottom w:val="single" w:sz="4" w:space="0" w:color="auto"/>
              <w:right w:val="single" w:sz="4" w:space="0" w:color="auto"/>
            </w:tcBorders>
            <w:noWrap/>
            <w:vAlign w:val="bottom"/>
          </w:tcPr>
          <w:p w14:paraId="634FDBA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high</w:t>
            </w:r>
          </w:p>
        </w:tc>
      </w:tr>
      <w:tr w:rsidR="00864B6D" w14:paraId="0EBBFB3B"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672EE64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w:t>
            </w:r>
          </w:p>
        </w:tc>
        <w:tc>
          <w:tcPr>
            <w:tcW w:w="1080" w:type="dxa"/>
            <w:tcBorders>
              <w:top w:val="nil"/>
              <w:left w:val="nil"/>
              <w:bottom w:val="single" w:sz="4" w:space="0" w:color="auto"/>
              <w:right w:val="single" w:sz="4" w:space="0" w:color="auto"/>
            </w:tcBorders>
            <w:noWrap/>
            <w:vAlign w:val="bottom"/>
          </w:tcPr>
          <w:p w14:paraId="0D463A6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5A3BECE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360" w:type="dxa"/>
            <w:tcBorders>
              <w:top w:val="nil"/>
              <w:left w:val="nil"/>
              <w:bottom w:val="single" w:sz="4" w:space="0" w:color="auto"/>
              <w:right w:val="single" w:sz="4" w:space="0" w:color="auto"/>
            </w:tcBorders>
            <w:noWrap/>
            <w:vAlign w:val="bottom"/>
          </w:tcPr>
          <w:p w14:paraId="47FCC93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620" w:type="dxa"/>
            <w:tcBorders>
              <w:top w:val="nil"/>
              <w:left w:val="nil"/>
              <w:bottom w:val="single" w:sz="4" w:space="0" w:color="auto"/>
              <w:right w:val="single" w:sz="4" w:space="0" w:color="auto"/>
            </w:tcBorders>
            <w:noWrap/>
            <w:vAlign w:val="bottom"/>
          </w:tcPr>
          <w:p w14:paraId="47C1092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32</w:t>
            </w:r>
          </w:p>
        </w:tc>
        <w:tc>
          <w:tcPr>
            <w:tcW w:w="1740" w:type="dxa"/>
            <w:tcBorders>
              <w:top w:val="nil"/>
              <w:left w:val="nil"/>
              <w:bottom w:val="single" w:sz="4" w:space="0" w:color="auto"/>
              <w:right w:val="single" w:sz="4" w:space="0" w:color="auto"/>
            </w:tcBorders>
            <w:noWrap/>
            <w:vAlign w:val="bottom"/>
          </w:tcPr>
          <w:p w14:paraId="53889E1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29</w:t>
            </w:r>
          </w:p>
        </w:tc>
        <w:tc>
          <w:tcPr>
            <w:tcW w:w="1365" w:type="dxa"/>
            <w:tcBorders>
              <w:top w:val="nil"/>
              <w:left w:val="nil"/>
              <w:bottom w:val="single" w:sz="4" w:space="0" w:color="auto"/>
              <w:right w:val="single" w:sz="4" w:space="0" w:color="auto"/>
            </w:tcBorders>
            <w:noWrap/>
            <w:vAlign w:val="bottom"/>
          </w:tcPr>
          <w:p w14:paraId="3B24D2E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7CFA6EC5"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5CA1BDF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w:t>
            </w:r>
          </w:p>
        </w:tc>
        <w:tc>
          <w:tcPr>
            <w:tcW w:w="1080" w:type="dxa"/>
            <w:tcBorders>
              <w:top w:val="nil"/>
              <w:left w:val="nil"/>
              <w:bottom w:val="single" w:sz="4" w:space="0" w:color="auto"/>
              <w:right w:val="single" w:sz="4" w:space="0" w:color="auto"/>
            </w:tcBorders>
            <w:noWrap/>
            <w:vAlign w:val="bottom"/>
          </w:tcPr>
          <w:p w14:paraId="44012A5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7BC1DFE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51</w:t>
            </w:r>
          </w:p>
        </w:tc>
        <w:tc>
          <w:tcPr>
            <w:tcW w:w="1360" w:type="dxa"/>
            <w:tcBorders>
              <w:top w:val="nil"/>
              <w:left w:val="nil"/>
              <w:bottom w:val="single" w:sz="4" w:space="0" w:color="auto"/>
              <w:right w:val="single" w:sz="4" w:space="0" w:color="auto"/>
            </w:tcBorders>
            <w:noWrap/>
            <w:vAlign w:val="bottom"/>
          </w:tcPr>
          <w:p w14:paraId="57B7D01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35</w:t>
            </w:r>
          </w:p>
        </w:tc>
        <w:tc>
          <w:tcPr>
            <w:tcW w:w="1620" w:type="dxa"/>
            <w:tcBorders>
              <w:top w:val="nil"/>
              <w:left w:val="nil"/>
              <w:bottom w:val="single" w:sz="4" w:space="0" w:color="auto"/>
              <w:right w:val="single" w:sz="4" w:space="0" w:color="auto"/>
            </w:tcBorders>
            <w:noWrap/>
            <w:vAlign w:val="bottom"/>
          </w:tcPr>
          <w:p w14:paraId="41B742F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32</w:t>
            </w:r>
          </w:p>
        </w:tc>
        <w:tc>
          <w:tcPr>
            <w:tcW w:w="1740" w:type="dxa"/>
            <w:tcBorders>
              <w:top w:val="nil"/>
              <w:left w:val="nil"/>
              <w:bottom w:val="single" w:sz="4" w:space="0" w:color="auto"/>
              <w:right w:val="single" w:sz="4" w:space="0" w:color="auto"/>
            </w:tcBorders>
            <w:noWrap/>
            <w:vAlign w:val="bottom"/>
          </w:tcPr>
          <w:p w14:paraId="2E920A6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22</w:t>
            </w:r>
          </w:p>
        </w:tc>
        <w:tc>
          <w:tcPr>
            <w:tcW w:w="1365" w:type="dxa"/>
            <w:tcBorders>
              <w:top w:val="nil"/>
              <w:left w:val="nil"/>
              <w:bottom w:val="single" w:sz="4" w:space="0" w:color="auto"/>
              <w:right w:val="single" w:sz="4" w:space="0" w:color="auto"/>
            </w:tcBorders>
            <w:noWrap/>
            <w:vAlign w:val="bottom"/>
          </w:tcPr>
          <w:p w14:paraId="33A5DC1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58CCCC06"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E786FC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5D651B0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0AC9DCE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7D2CD7E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3C6352B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49683CB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3EEE58A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137AF921"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3BBE09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080" w:type="dxa"/>
            <w:tcBorders>
              <w:top w:val="nil"/>
              <w:left w:val="nil"/>
              <w:bottom w:val="single" w:sz="4" w:space="0" w:color="auto"/>
              <w:right w:val="single" w:sz="4" w:space="0" w:color="auto"/>
            </w:tcBorders>
            <w:noWrap/>
            <w:vAlign w:val="bottom"/>
          </w:tcPr>
          <w:p w14:paraId="19A3D59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3D46392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22</w:t>
            </w:r>
          </w:p>
        </w:tc>
        <w:tc>
          <w:tcPr>
            <w:tcW w:w="1360" w:type="dxa"/>
            <w:tcBorders>
              <w:top w:val="nil"/>
              <w:left w:val="nil"/>
              <w:bottom w:val="single" w:sz="4" w:space="0" w:color="auto"/>
              <w:right w:val="single" w:sz="4" w:space="0" w:color="auto"/>
            </w:tcBorders>
            <w:noWrap/>
            <w:vAlign w:val="bottom"/>
          </w:tcPr>
          <w:p w14:paraId="4A0A8C1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21</w:t>
            </w:r>
          </w:p>
        </w:tc>
        <w:tc>
          <w:tcPr>
            <w:tcW w:w="1620" w:type="dxa"/>
            <w:tcBorders>
              <w:top w:val="nil"/>
              <w:left w:val="nil"/>
              <w:bottom w:val="single" w:sz="4" w:space="0" w:color="auto"/>
              <w:right w:val="single" w:sz="4" w:space="0" w:color="auto"/>
            </w:tcBorders>
            <w:noWrap/>
            <w:vAlign w:val="bottom"/>
          </w:tcPr>
          <w:p w14:paraId="11AC434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740" w:type="dxa"/>
            <w:tcBorders>
              <w:top w:val="nil"/>
              <w:left w:val="nil"/>
              <w:bottom w:val="single" w:sz="4" w:space="0" w:color="auto"/>
              <w:right w:val="single" w:sz="4" w:space="0" w:color="auto"/>
            </w:tcBorders>
            <w:noWrap/>
            <w:vAlign w:val="bottom"/>
          </w:tcPr>
          <w:p w14:paraId="189E42E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365" w:type="dxa"/>
            <w:tcBorders>
              <w:top w:val="nil"/>
              <w:left w:val="nil"/>
              <w:bottom w:val="single" w:sz="4" w:space="0" w:color="auto"/>
              <w:right w:val="single" w:sz="4" w:space="0" w:color="auto"/>
            </w:tcBorders>
            <w:noWrap/>
            <w:vAlign w:val="bottom"/>
          </w:tcPr>
          <w:p w14:paraId="0A7A5E2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moderate</w:t>
            </w:r>
          </w:p>
        </w:tc>
      </w:tr>
      <w:tr w:rsidR="00864B6D" w14:paraId="0AAC2A9A"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6FB41D3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080" w:type="dxa"/>
            <w:tcBorders>
              <w:top w:val="nil"/>
              <w:left w:val="nil"/>
              <w:bottom w:val="single" w:sz="4" w:space="0" w:color="auto"/>
              <w:right w:val="single" w:sz="4" w:space="0" w:color="auto"/>
            </w:tcBorders>
            <w:noWrap/>
            <w:vAlign w:val="bottom"/>
          </w:tcPr>
          <w:p w14:paraId="6BD2741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03BD7D5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34</w:t>
            </w:r>
          </w:p>
        </w:tc>
        <w:tc>
          <w:tcPr>
            <w:tcW w:w="1360" w:type="dxa"/>
            <w:tcBorders>
              <w:top w:val="nil"/>
              <w:left w:val="nil"/>
              <w:bottom w:val="single" w:sz="4" w:space="0" w:color="auto"/>
              <w:right w:val="single" w:sz="4" w:space="0" w:color="auto"/>
            </w:tcBorders>
            <w:noWrap/>
            <w:vAlign w:val="bottom"/>
          </w:tcPr>
          <w:p w14:paraId="177E2F6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33</w:t>
            </w:r>
          </w:p>
        </w:tc>
        <w:tc>
          <w:tcPr>
            <w:tcW w:w="1620" w:type="dxa"/>
            <w:tcBorders>
              <w:top w:val="nil"/>
              <w:left w:val="nil"/>
              <w:bottom w:val="single" w:sz="4" w:space="0" w:color="auto"/>
              <w:right w:val="single" w:sz="4" w:space="0" w:color="auto"/>
            </w:tcBorders>
            <w:noWrap/>
            <w:vAlign w:val="bottom"/>
          </w:tcPr>
          <w:p w14:paraId="5EEC354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740" w:type="dxa"/>
            <w:tcBorders>
              <w:top w:val="nil"/>
              <w:left w:val="nil"/>
              <w:bottom w:val="single" w:sz="4" w:space="0" w:color="auto"/>
              <w:right w:val="single" w:sz="4" w:space="0" w:color="auto"/>
            </w:tcBorders>
            <w:noWrap/>
            <w:vAlign w:val="bottom"/>
          </w:tcPr>
          <w:p w14:paraId="26C43EC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11</w:t>
            </w:r>
          </w:p>
        </w:tc>
        <w:tc>
          <w:tcPr>
            <w:tcW w:w="1365" w:type="dxa"/>
            <w:tcBorders>
              <w:top w:val="nil"/>
              <w:left w:val="nil"/>
              <w:bottom w:val="single" w:sz="4" w:space="0" w:color="auto"/>
              <w:right w:val="single" w:sz="4" w:space="0" w:color="auto"/>
            </w:tcBorders>
            <w:noWrap/>
            <w:vAlign w:val="bottom"/>
          </w:tcPr>
          <w:p w14:paraId="51AA3B27" w14:textId="77777777" w:rsidR="00864B6D" w:rsidRDefault="00864B6D" w:rsidP="00650194">
            <w:pPr>
              <w:spacing w:line="276" w:lineRule="auto"/>
              <w:jc w:val="center"/>
              <w:rPr>
                <w:rFonts w:ascii="Arial" w:hAnsi="Arial" w:cs="Arial"/>
                <w:sz w:val="20"/>
                <w:szCs w:val="20"/>
              </w:rPr>
            </w:pPr>
          </w:p>
        </w:tc>
      </w:tr>
      <w:tr w:rsidR="00864B6D" w14:paraId="49966D02"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09EB0AD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080" w:type="dxa"/>
            <w:tcBorders>
              <w:top w:val="nil"/>
              <w:left w:val="nil"/>
              <w:bottom w:val="single" w:sz="4" w:space="0" w:color="auto"/>
              <w:right w:val="single" w:sz="4" w:space="0" w:color="auto"/>
            </w:tcBorders>
            <w:noWrap/>
            <w:vAlign w:val="bottom"/>
          </w:tcPr>
          <w:p w14:paraId="190BE37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78218A9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62</w:t>
            </w:r>
          </w:p>
        </w:tc>
        <w:tc>
          <w:tcPr>
            <w:tcW w:w="1360" w:type="dxa"/>
            <w:tcBorders>
              <w:top w:val="nil"/>
              <w:left w:val="nil"/>
              <w:bottom w:val="single" w:sz="4" w:space="0" w:color="auto"/>
              <w:right w:val="single" w:sz="4" w:space="0" w:color="auto"/>
            </w:tcBorders>
            <w:noWrap/>
            <w:vAlign w:val="bottom"/>
          </w:tcPr>
          <w:p w14:paraId="39CEBE9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60</w:t>
            </w:r>
          </w:p>
        </w:tc>
        <w:tc>
          <w:tcPr>
            <w:tcW w:w="1620" w:type="dxa"/>
            <w:tcBorders>
              <w:top w:val="nil"/>
              <w:left w:val="nil"/>
              <w:bottom w:val="single" w:sz="4" w:space="0" w:color="auto"/>
              <w:right w:val="single" w:sz="4" w:space="0" w:color="auto"/>
            </w:tcBorders>
            <w:noWrap/>
            <w:vAlign w:val="bottom"/>
          </w:tcPr>
          <w:p w14:paraId="4B716FF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740" w:type="dxa"/>
            <w:tcBorders>
              <w:top w:val="nil"/>
              <w:left w:val="nil"/>
              <w:bottom w:val="single" w:sz="4" w:space="0" w:color="auto"/>
              <w:right w:val="single" w:sz="4" w:space="0" w:color="auto"/>
            </w:tcBorders>
            <w:noWrap/>
            <w:vAlign w:val="bottom"/>
          </w:tcPr>
          <w:p w14:paraId="59E0D51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365" w:type="dxa"/>
            <w:tcBorders>
              <w:top w:val="nil"/>
              <w:left w:val="nil"/>
              <w:bottom w:val="single" w:sz="4" w:space="0" w:color="auto"/>
              <w:right w:val="single" w:sz="4" w:space="0" w:color="auto"/>
            </w:tcBorders>
            <w:noWrap/>
            <w:vAlign w:val="bottom"/>
          </w:tcPr>
          <w:p w14:paraId="215B609F" w14:textId="77777777" w:rsidR="00864B6D" w:rsidRDefault="00864B6D" w:rsidP="00650194">
            <w:pPr>
              <w:spacing w:line="276" w:lineRule="auto"/>
              <w:jc w:val="center"/>
              <w:rPr>
                <w:rFonts w:ascii="Arial" w:hAnsi="Arial" w:cs="Arial"/>
                <w:sz w:val="20"/>
                <w:szCs w:val="20"/>
              </w:rPr>
            </w:pPr>
          </w:p>
        </w:tc>
      </w:tr>
      <w:tr w:rsidR="00864B6D" w14:paraId="2629B21D"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AE0B6E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09D47E5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3800076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7428E9E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60A2744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5353792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445C5B5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02407CD7"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8A2C64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noWrap/>
            <w:vAlign w:val="bottom"/>
          </w:tcPr>
          <w:p w14:paraId="079D26B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32E26E8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25</w:t>
            </w:r>
          </w:p>
        </w:tc>
        <w:tc>
          <w:tcPr>
            <w:tcW w:w="1360" w:type="dxa"/>
            <w:tcBorders>
              <w:top w:val="nil"/>
              <w:left w:val="nil"/>
              <w:bottom w:val="single" w:sz="4" w:space="0" w:color="auto"/>
              <w:right w:val="single" w:sz="4" w:space="0" w:color="auto"/>
            </w:tcBorders>
            <w:noWrap/>
            <w:vAlign w:val="bottom"/>
          </w:tcPr>
          <w:p w14:paraId="33B61DA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620" w:type="dxa"/>
            <w:tcBorders>
              <w:top w:val="nil"/>
              <w:left w:val="nil"/>
              <w:bottom w:val="single" w:sz="4" w:space="0" w:color="auto"/>
              <w:right w:val="single" w:sz="4" w:space="0" w:color="auto"/>
            </w:tcBorders>
            <w:noWrap/>
            <w:vAlign w:val="bottom"/>
          </w:tcPr>
          <w:p w14:paraId="6C9CAB3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5161607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21</w:t>
            </w:r>
          </w:p>
        </w:tc>
        <w:tc>
          <w:tcPr>
            <w:tcW w:w="1365" w:type="dxa"/>
            <w:tcBorders>
              <w:top w:val="nil"/>
              <w:left w:val="nil"/>
              <w:bottom w:val="single" w:sz="4" w:space="0" w:color="auto"/>
              <w:right w:val="single" w:sz="4" w:space="0" w:color="auto"/>
            </w:tcBorders>
            <w:noWrap/>
            <w:vAlign w:val="bottom"/>
          </w:tcPr>
          <w:p w14:paraId="1FBF202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high</w:t>
            </w:r>
          </w:p>
        </w:tc>
      </w:tr>
      <w:tr w:rsidR="00864B6D" w14:paraId="183E5874"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7F01F85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noWrap/>
            <w:vAlign w:val="bottom"/>
          </w:tcPr>
          <w:p w14:paraId="09A09F8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72142BD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36</w:t>
            </w:r>
          </w:p>
        </w:tc>
        <w:tc>
          <w:tcPr>
            <w:tcW w:w="1360" w:type="dxa"/>
            <w:tcBorders>
              <w:top w:val="nil"/>
              <w:left w:val="nil"/>
              <w:bottom w:val="single" w:sz="4" w:space="0" w:color="auto"/>
              <w:right w:val="single" w:sz="4" w:space="0" w:color="auto"/>
            </w:tcBorders>
            <w:noWrap/>
            <w:vAlign w:val="bottom"/>
          </w:tcPr>
          <w:p w14:paraId="0AE2F3B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620" w:type="dxa"/>
            <w:tcBorders>
              <w:top w:val="nil"/>
              <w:left w:val="nil"/>
              <w:bottom w:val="single" w:sz="4" w:space="0" w:color="auto"/>
              <w:right w:val="single" w:sz="4" w:space="0" w:color="auto"/>
            </w:tcBorders>
            <w:noWrap/>
            <w:vAlign w:val="bottom"/>
          </w:tcPr>
          <w:p w14:paraId="3FAC328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4C1A713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365" w:type="dxa"/>
            <w:tcBorders>
              <w:top w:val="nil"/>
              <w:left w:val="nil"/>
              <w:bottom w:val="single" w:sz="4" w:space="0" w:color="auto"/>
              <w:right w:val="single" w:sz="4" w:space="0" w:color="auto"/>
            </w:tcBorders>
            <w:noWrap/>
            <w:vAlign w:val="bottom"/>
          </w:tcPr>
          <w:p w14:paraId="2D75B8C6" w14:textId="77777777" w:rsidR="00864B6D" w:rsidRDefault="00864B6D" w:rsidP="00650194">
            <w:pPr>
              <w:spacing w:line="276" w:lineRule="auto"/>
              <w:jc w:val="center"/>
              <w:rPr>
                <w:rFonts w:ascii="Arial" w:hAnsi="Arial" w:cs="Arial"/>
                <w:sz w:val="20"/>
                <w:szCs w:val="20"/>
              </w:rPr>
            </w:pPr>
          </w:p>
        </w:tc>
      </w:tr>
      <w:tr w:rsidR="00864B6D" w14:paraId="7F1B39AB"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2AD4096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noWrap/>
            <w:vAlign w:val="bottom"/>
          </w:tcPr>
          <w:p w14:paraId="237A3F5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23DBBA0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65</w:t>
            </w:r>
          </w:p>
        </w:tc>
        <w:tc>
          <w:tcPr>
            <w:tcW w:w="1360" w:type="dxa"/>
            <w:tcBorders>
              <w:top w:val="nil"/>
              <w:left w:val="nil"/>
              <w:bottom w:val="single" w:sz="4" w:space="0" w:color="auto"/>
              <w:right w:val="single" w:sz="4" w:space="0" w:color="auto"/>
            </w:tcBorders>
            <w:noWrap/>
            <w:vAlign w:val="bottom"/>
          </w:tcPr>
          <w:p w14:paraId="3F7D645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53</w:t>
            </w:r>
          </w:p>
        </w:tc>
        <w:tc>
          <w:tcPr>
            <w:tcW w:w="1620" w:type="dxa"/>
            <w:tcBorders>
              <w:top w:val="nil"/>
              <w:left w:val="nil"/>
              <w:bottom w:val="single" w:sz="4" w:space="0" w:color="auto"/>
              <w:right w:val="single" w:sz="4" w:space="0" w:color="auto"/>
            </w:tcBorders>
            <w:noWrap/>
            <w:vAlign w:val="bottom"/>
          </w:tcPr>
          <w:p w14:paraId="487EE20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740" w:type="dxa"/>
            <w:tcBorders>
              <w:top w:val="nil"/>
              <w:left w:val="nil"/>
              <w:bottom w:val="single" w:sz="4" w:space="0" w:color="auto"/>
              <w:right w:val="single" w:sz="4" w:space="0" w:color="auto"/>
            </w:tcBorders>
            <w:noWrap/>
            <w:vAlign w:val="bottom"/>
          </w:tcPr>
          <w:p w14:paraId="46B1F58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365" w:type="dxa"/>
            <w:tcBorders>
              <w:top w:val="nil"/>
              <w:left w:val="nil"/>
              <w:bottom w:val="single" w:sz="4" w:space="0" w:color="auto"/>
              <w:right w:val="single" w:sz="4" w:space="0" w:color="auto"/>
            </w:tcBorders>
            <w:noWrap/>
            <w:vAlign w:val="bottom"/>
          </w:tcPr>
          <w:p w14:paraId="3424B407" w14:textId="77777777" w:rsidR="00864B6D" w:rsidRDefault="00864B6D" w:rsidP="00650194">
            <w:pPr>
              <w:spacing w:line="276" w:lineRule="auto"/>
              <w:jc w:val="center"/>
              <w:rPr>
                <w:rFonts w:ascii="Arial" w:hAnsi="Arial" w:cs="Arial"/>
                <w:sz w:val="20"/>
                <w:szCs w:val="20"/>
              </w:rPr>
            </w:pPr>
          </w:p>
        </w:tc>
      </w:tr>
      <w:tr w:rsidR="00864B6D" w14:paraId="6134AF2A"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5280601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single" w:sz="4" w:space="0" w:color="auto"/>
            </w:tcBorders>
            <w:noWrap/>
            <w:vAlign w:val="bottom"/>
          </w:tcPr>
          <w:p w14:paraId="21F4104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133" w:type="dxa"/>
            <w:tcBorders>
              <w:top w:val="nil"/>
              <w:left w:val="nil"/>
              <w:bottom w:val="single" w:sz="4" w:space="0" w:color="auto"/>
              <w:right w:val="single" w:sz="4" w:space="0" w:color="auto"/>
            </w:tcBorders>
            <w:noWrap/>
            <w:vAlign w:val="bottom"/>
          </w:tcPr>
          <w:p w14:paraId="2B21422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0" w:type="dxa"/>
            <w:tcBorders>
              <w:top w:val="nil"/>
              <w:left w:val="nil"/>
              <w:bottom w:val="single" w:sz="4" w:space="0" w:color="auto"/>
              <w:right w:val="single" w:sz="4" w:space="0" w:color="auto"/>
            </w:tcBorders>
            <w:noWrap/>
            <w:vAlign w:val="bottom"/>
          </w:tcPr>
          <w:p w14:paraId="35F4455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tcPr>
          <w:p w14:paraId="7713D1C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740" w:type="dxa"/>
            <w:tcBorders>
              <w:top w:val="nil"/>
              <w:left w:val="nil"/>
              <w:bottom w:val="single" w:sz="4" w:space="0" w:color="auto"/>
              <w:right w:val="single" w:sz="4" w:space="0" w:color="auto"/>
            </w:tcBorders>
            <w:noWrap/>
            <w:vAlign w:val="bottom"/>
          </w:tcPr>
          <w:p w14:paraId="4E6460B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c>
          <w:tcPr>
            <w:tcW w:w="1365" w:type="dxa"/>
            <w:tcBorders>
              <w:top w:val="nil"/>
              <w:left w:val="nil"/>
              <w:bottom w:val="single" w:sz="4" w:space="0" w:color="auto"/>
              <w:right w:val="single" w:sz="4" w:space="0" w:color="auto"/>
            </w:tcBorders>
            <w:noWrap/>
            <w:vAlign w:val="bottom"/>
          </w:tcPr>
          <w:p w14:paraId="7BE0269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7059BE77"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3D30CF7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080" w:type="dxa"/>
            <w:tcBorders>
              <w:top w:val="nil"/>
              <w:left w:val="nil"/>
              <w:bottom w:val="single" w:sz="4" w:space="0" w:color="auto"/>
              <w:right w:val="single" w:sz="4" w:space="0" w:color="auto"/>
            </w:tcBorders>
            <w:noWrap/>
            <w:vAlign w:val="bottom"/>
          </w:tcPr>
          <w:p w14:paraId="1494406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nil"/>
              <w:left w:val="nil"/>
              <w:bottom w:val="single" w:sz="4" w:space="0" w:color="auto"/>
              <w:right w:val="single" w:sz="4" w:space="0" w:color="auto"/>
            </w:tcBorders>
            <w:noWrap/>
            <w:vAlign w:val="bottom"/>
          </w:tcPr>
          <w:p w14:paraId="16779B6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34</w:t>
            </w:r>
          </w:p>
        </w:tc>
        <w:tc>
          <w:tcPr>
            <w:tcW w:w="1360" w:type="dxa"/>
            <w:tcBorders>
              <w:top w:val="nil"/>
              <w:left w:val="nil"/>
              <w:bottom w:val="single" w:sz="4" w:space="0" w:color="auto"/>
              <w:right w:val="single" w:sz="4" w:space="0" w:color="auto"/>
            </w:tcBorders>
            <w:noWrap/>
            <w:vAlign w:val="bottom"/>
          </w:tcPr>
          <w:p w14:paraId="05911B5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28</w:t>
            </w:r>
          </w:p>
        </w:tc>
        <w:tc>
          <w:tcPr>
            <w:tcW w:w="1620" w:type="dxa"/>
            <w:tcBorders>
              <w:top w:val="nil"/>
              <w:left w:val="nil"/>
              <w:bottom w:val="single" w:sz="4" w:space="0" w:color="auto"/>
              <w:right w:val="single" w:sz="4" w:space="0" w:color="auto"/>
            </w:tcBorders>
            <w:noWrap/>
            <w:vAlign w:val="bottom"/>
          </w:tcPr>
          <w:p w14:paraId="2AD3253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nil"/>
              <w:left w:val="nil"/>
              <w:bottom w:val="single" w:sz="4" w:space="0" w:color="auto"/>
              <w:right w:val="single" w:sz="4" w:space="0" w:color="auto"/>
            </w:tcBorders>
            <w:noWrap/>
            <w:vAlign w:val="bottom"/>
          </w:tcPr>
          <w:p w14:paraId="01484AF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14</w:t>
            </w:r>
          </w:p>
        </w:tc>
        <w:tc>
          <w:tcPr>
            <w:tcW w:w="1365" w:type="dxa"/>
            <w:tcBorders>
              <w:top w:val="nil"/>
              <w:left w:val="nil"/>
              <w:bottom w:val="single" w:sz="4" w:space="0" w:color="auto"/>
              <w:right w:val="single" w:sz="4" w:space="0" w:color="auto"/>
            </w:tcBorders>
            <w:noWrap/>
            <w:vAlign w:val="bottom"/>
          </w:tcPr>
          <w:p w14:paraId="4D7082E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low</w:t>
            </w:r>
          </w:p>
        </w:tc>
      </w:tr>
      <w:tr w:rsidR="00864B6D" w14:paraId="4199EF44"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3DECC089"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080" w:type="dxa"/>
            <w:tcBorders>
              <w:top w:val="nil"/>
              <w:left w:val="nil"/>
              <w:bottom w:val="single" w:sz="4" w:space="0" w:color="auto"/>
              <w:right w:val="single" w:sz="4" w:space="0" w:color="auto"/>
            </w:tcBorders>
            <w:noWrap/>
            <w:vAlign w:val="bottom"/>
          </w:tcPr>
          <w:p w14:paraId="3EA3116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10E04B4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40</w:t>
            </w:r>
          </w:p>
        </w:tc>
        <w:tc>
          <w:tcPr>
            <w:tcW w:w="1360" w:type="dxa"/>
            <w:tcBorders>
              <w:top w:val="nil"/>
              <w:left w:val="nil"/>
              <w:bottom w:val="single" w:sz="4" w:space="0" w:color="auto"/>
              <w:right w:val="single" w:sz="4" w:space="0" w:color="auto"/>
            </w:tcBorders>
            <w:noWrap/>
            <w:vAlign w:val="bottom"/>
          </w:tcPr>
          <w:p w14:paraId="07B4C3F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34</w:t>
            </w:r>
          </w:p>
        </w:tc>
        <w:tc>
          <w:tcPr>
            <w:tcW w:w="1620" w:type="dxa"/>
            <w:tcBorders>
              <w:top w:val="nil"/>
              <w:left w:val="nil"/>
              <w:bottom w:val="single" w:sz="4" w:space="0" w:color="auto"/>
              <w:right w:val="single" w:sz="4" w:space="0" w:color="auto"/>
            </w:tcBorders>
            <w:noWrap/>
            <w:vAlign w:val="bottom"/>
          </w:tcPr>
          <w:p w14:paraId="3CCF17D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nil"/>
              <w:left w:val="nil"/>
              <w:bottom w:val="single" w:sz="4" w:space="0" w:color="auto"/>
              <w:right w:val="single" w:sz="4" w:space="0" w:color="auto"/>
            </w:tcBorders>
            <w:noWrap/>
            <w:vAlign w:val="bottom"/>
          </w:tcPr>
          <w:p w14:paraId="6FD2CB5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12</w:t>
            </w:r>
          </w:p>
        </w:tc>
        <w:tc>
          <w:tcPr>
            <w:tcW w:w="1365" w:type="dxa"/>
            <w:tcBorders>
              <w:top w:val="nil"/>
              <w:left w:val="nil"/>
              <w:bottom w:val="single" w:sz="4" w:space="0" w:color="auto"/>
              <w:right w:val="single" w:sz="4" w:space="0" w:color="auto"/>
            </w:tcBorders>
            <w:noWrap/>
            <w:vAlign w:val="bottom"/>
          </w:tcPr>
          <w:p w14:paraId="04D02EA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467F8F6E"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97CEB8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080" w:type="dxa"/>
            <w:tcBorders>
              <w:top w:val="nil"/>
              <w:left w:val="nil"/>
              <w:bottom w:val="single" w:sz="4" w:space="0" w:color="auto"/>
              <w:right w:val="single" w:sz="4" w:space="0" w:color="auto"/>
            </w:tcBorders>
            <w:noWrap/>
            <w:vAlign w:val="bottom"/>
          </w:tcPr>
          <w:p w14:paraId="586576F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4792779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82</w:t>
            </w:r>
          </w:p>
        </w:tc>
        <w:tc>
          <w:tcPr>
            <w:tcW w:w="1360" w:type="dxa"/>
            <w:tcBorders>
              <w:top w:val="nil"/>
              <w:left w:val="nil"/>
              <w:bottom w:val="single" w:sz="4" w:space="0" w:color="auto"/>
              <w:right w:val="single" w:sz="4" w:space="0" w:color="auto"/>
            </w:tcBorders>
            <w:noWrap/>
            <w:vAlign w:val="bottom"/>
          </w:tcPr>
          <w:p w14:paraId="5901BD3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82</w:t>
            </w:r>
          </w:p>
        </w:tc>
        <w:tc>
          <w:tcPr>
            <w:tcW w:w="1620" w:type="dxa"/>
            <w:tcBorders>
              <w:top w:val="nil"/>
              <w:left w:val="nil"/>
              <w:bottom w:val="single" w:sz="4" w:space="0" w:color="auto"/>
              <w:right w:val="single" w:sz="4" w:space="0" w:color="auto"/>
            </w:tcBorders>
            <w:noWrap/>
            <w:vAlign w:val="bottom"/>
          </w:tcPr>
          <w:p w14:paraId="32C56C2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nil"/>
              <w:left w:val="nil"/>
              <w:bottom w:val="single" w:sz="4" w:space="0" w:color="auto"/>
              <w:right w:val="single" w:sz="4" w:space="0" w:color="auto"/>
            </w:tcBorders>
            <w:noWrap/>
            <w:vAlign w:val="bottom"/>
          </w:tcPr>
          <w:p w14:paraId="5AD40231"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w:t>
            </w:r>
          </w:p>
        </w:tc>
        <w:tc>
          <w:tcPr>
            <w:tcW w:w="1365" w:type="dxa"/>
            <w:tcBorders>
              <w:top w:val="nil"/>
              <w:left w:val="nil"/>
              <w:bottom w:val="single" w:sz="4" w:space="0" w:color="auto"/>
              <w:right w:val="single" w:sz="4" w:space="0" w:color="auto"/>
            </w:tcBorders>
            <w:noWrap/>
            <w:vAlign w:val="bottom"/>
          </w:tcPr>
          <w:p w14:paraId="1264F7B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0709F0" w14:paraId="01993C2B" w14:textId="77777777">
        <w:trPr>
          <w:trHeight w:val="255"/>
        </w:trPr>
        <w:tc>
          <w:tcPr>
            <w:tcW w:w="1060" w:type="dxa"/>
            <w:tcBorders>
              <w:top w:val="single" w:sz="4" w:space="0" w:color="auto"/>
              <w:left w:val="single" w:sz="4" w:space="0" w:color="auto"/>
              <w:bottom w:val="single" w:sz="4" w:space="0" w:color="auto"/>
              <w:right w:val="single" w:sz="4" w:space="0" w:color="auto"/>
            </w:tcBorders>
            <w:noWrap/>
            <w:vAlign w:val="bottom"/>
          </w:tcPr>
          <w:p w14:paraId="26AE3D0A" w14:textId="77777777" w:rsidR="000709F0" w:rsidRDefault="000709F0" w:rsidP="00650194">
            <w:pPr>
              <w:spacing w:line="276" w:lineRule="auto"/>
              <w:jc w:val="center"/>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noWrap/>
            <w:vAlign w:val="bottom"/>
          </w:tcPr>
          <w:p w14:paraId="05686674" w14:textId="77777777" w:rsidR="000709F0" w:rsidRDefault="000709F0" w:rsidP="00650194">
            <w:pPr>
              <w:spacing w:line="276" w:lineRule="auto"/>
              <w:jc w:val="center"/>
              <w:rPr>
                <w:rFonts w:ascii="Arial" w:hAnsi="Arial" w:cs="Arial"/>
                <w:sz w:val="20"/>
                <w:szCs w:val="20"/>
              </w:rPr>
            </w:pPr>
          </w:p>
        </w:tc>
        <w:tc>
          <w:tcPr>
            <w:tcW w:w="1133" w:type="dxa"/>
            <w:tcBorders>
              <w:top w:val="single" w:sz="4" w:space="0" w:color="auto"/>
              <w:left w:val="nil"/>
              <w:bottom w:val="single" w:sz="4" w:space="0" w:color="auto"/>
              <w:right w:val="single" w:sz="4" w:space="0" w:color="auto"/>
            </w:tcBorders>
            <w:noWrap/>
            <w:vAlign w:val="bottom"/>
          </w:tcPr>
          <w:p w14:paraId="112F1E00" w14:textId="77777777" w:rsidR="000709F0" w:rsidRDefault="000709F0" w:rsidP="00650194">
            <w:pPr>
              <w:spacing w:line="276" w:lineRule="auto"/>
              <w:jc w:val="center"/>
              <w:rPr>
                <w:rFonts w:ascii="Arial" w:hAnsi="Arial" w:cs="Arial"/>
                <w:sz w:val="20"/>
                <w:szCs w:val="20"/>
              </w:rPr>
            </w:pPr>
          </w:p>
        </w:tc>
        <w:tc>
          <w:tcPr>
            <w:tcW w:w="1360" w:type="dxa"/>
            <w:tcBorders>
              <w:top w:val="single" w:sz="4" w:space="0" w:color="auto"/>
              <w:left w:val="nil"/>
              <w:bottom w:val="single" w:sz="4" w:space="0" w:color="auto"/>
              <w:right w:val="single" w:sz="4" w:space="0" w:color="auto"/>
            </w:tcBorders>
            <w:noWrap/>
            <w:vAlign w:val="bottom"/>
          </w:tcPr>
          <w:p w14:paraId="579E9FC5" w14:textId="77777777" w:rsidR="000709F0" w:rsidRDefault="000709F0" w:rsidP="00650194">
            <w:pPr>
              <w:spacing w:line="276" w:lineRule="auto"/>
              <w:jc w:val="center"/>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noWrap/>
            <w:vAlign w:val="bottom"/>
          </w:tcPr>
          <w:p w14:paraId="7B642420" w14:textId="77777777" w:rsidR="000709F0" w:rsidRDefault="000709F0" w:rsidP="00650194">
            <w:pPr>
              <w:spacing w:line="276" w:lineRule="auto"/>
              <w:jc w:val="center"/>
              <w:rPr>
                <w:rFonts w:ascii="Arial" w:hAnsi="Arial" w:cs="Arial"/>
                <w:sz w:val="20"/>
                <w:szCs w:val="20"/>
              </w:rPr>
            </w:pPr>
          </w:p>
        </w:tc>
        <w:tc>
          <w:tcPr>
            <w:tcW w:w="1740" w:type="dxa"/>
            <w:tcBorders>
              <w:top w:val="single" w:sz="4" w:space="0" w:color="auto"/>
              <w:left w:val="nil"/>
              <w:bottom w:val="single" w:sz="4" w:space="0" w:color="auto"/>
              <w:right w:val="single" w:sz="4" w:space="0" w:color="auto"/>
            </w:tcBorders>
            <w:noWrap/>
            <w:vAlign w:val="bottom"/>
          </w:tcPr>
          <w:p w14:paraId="4BCADE7A" w14:textId="77777777" w:rsidR="000709F0" w:rsidRDefault="000709F0" w:rsidP="00650194">
            <w:pPr>
              <w:spacing w:line="276" w:lineRule="auto"/>
              <w:jc w:val="center"/>
              <w:rPr>
                <w:rFonts w:ascii="Arial" w:hAnsi="Arial" w:cs="Arial"/>
                <w:sz w:val="20"/>
                <w:szCs w:val="20"/>
              </w:rPr>
            </w:pPr>
          </w:p>
        </w:tc>
        <w:tc>
          <w:tcPr>
            <w:tcW w:w="1365" w:type="dxa"/>
            <w:tcBorders>
              <w:top w:val="single" w:sz="4" w:space="0" w:color="auto"/>
              <w:left w:val="nil"/>
              <w:bottom w:val="single" w:sz="4" w:space="0" w:color="auto"/>
              <w:right w:val="single" w:sz="4" w:space="0" w:color="auto"/>
            </w:tcBorders>
            <w:noWrap/>
            <w:vAlign w:val="bottom"/>
          </w:tcPr>
          <w:p w14:paraId="40C5DC17" w14:textId="77777777" w:rsidR="000709F0" w:rsidRDefault="000709F0" w:rsidP="00650194">
            <w:pPr>
              <w:spacing w:line="276" w:lineRule="auto"/>
              <w:jc w:val="center"/>
              <w:rPr>
                <w:rFonts w:ascii="Arial" w:hAnsi="Arial" w:cs="Arial"/>
                <w:sz w:val="20"/>
                <w:szCs w:val="20"/>
              </w:rPr>
            </w:pPr>
          </w:p>
        </w:tc>
      </w:tr>
      <w:tr w:rsidR="00864B6D" w14:paraId="6D93F61D" w14:textId="77777777">
        <w:trPr>
          <w:trHeight w:val="255"/>
        </w:trPr>
        <w:tc>
          <w:tcPr>
            <w:tcW w:w="1060" w:type="dxa"/>
            <w:tcBorders>
              <w:top w:val="single" w:sz="4" w:space="0" w:color="auto"/>
              <w:left w:val="single" w:sz="4" w:space="0" w:color="auto"/>
              <w:bottom w:val="single" w:sz="4" w:space="0" w:color="auto"/>
              <w:right w:val="single" w:sz="4" w:space="0" w:color="auto"/>
            </w:tcBorders>
            <w:noWrap/>
            <w:vAlign w:val="bottom"/>
          </w:tcPr>
          <w:p w14:paraId="6EA600F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10</w:t>
            </w:r>
          </w:p>
        </w:tc>
        <w:tc>
          <w:tcPr>
            <w:tcW w:w="1080" w:type="dxa"/>
            <w:tcBorders>
              <w:top w:val="single" w:sz="4" w:space="0" w:color="auto"/>
              <w:left w:val="nil"/>
              <w:bottom w:val="single" w:sz="4" w:space="0" w:color="auto"/>
              <w:right w:val="single" w:sz="4" w:space="0" w:color="auto"/>
            </w:tcBorders>
            <w:noWrap/>
            <w:vAlign w:val="bottom"/>
          </w:tcPr>
          <w:p w14:paraId="7180825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single" w:sz="4" w:space="0" w:color="auto"/>
              <w:left w:val="nil"/>
              <w:bottom w:val="single" w:sz="4" w:space="0" w:color="auto"/>
              <w:right w:val="single" w:sz="4" w:space="0" w:color="auto"/>
            </w:tcBorders>
            <w:noWrap/>
            <w:vAlign w:val="bottom"/>
          </w:tcPr>
          <w:p w14:paraId="6A150AD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23</w:t>
            </w:r>
          </w:p>
        </w:tc>
        <w:tc>
          <w:tcPr>
            <w:tcW w:w="1360" w:type="dxa"/>
            <w:tcBorders>
              <w:top w:val="single" w:sz="4" w:space="0" w:color="auto"/>
              <w:left w:val="nil"/>
              <w:bottom w:val="single" w:sz="4" w:space="0" w:color="auto"/>
              <w:right w:val="single" w:sz="4" w:space="0" w:color="auto"/>
            </w:tcBorders>
            <w:noWrap/>
            <w:vAlign w:val="bottom"/>
          </w:tcPr>
          <w:p w14:paraId="444E903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17</w:t>
            </w:r>
          </w:p>
        </w:tc>
        <w:tc>
          <w:tcPr>
            <w:tcW w:w="1620" w:type="dxa"/>
            <w:tcBorders>
              <w:top w:val="single" w:sz="4" w:space="0" w:color="auto"/>
              <w:left w:val="nil"/>
              <w:bottom w:val="single" w:sz="4" w:space="0" w:color="auto"/>
              <w:right w:val="single" w:sz="4" w:space="0" w:color="auto"/>
            </w:tcBorders>
            <w:noWrap/>
            <w:vAlign w:val="bottom"/>
          </w:tcPr>
          <w:p w14:paraId="1500205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28</w:t>
            </w:r>
          </w:p>
        </w:tc>
        <w:tc>
          <w:tcPr>
            <w:tcW w:w="1740" w:type="dxa"/>
            <w:tcBorders>
              <w:top w:val="single" w:sz="4" w:space="0" w:color="auto"/>
              <w:left w:val="nil"/>
              <w:bottom w:val="single" w:sz="4" w:space="0" w:color="auto"/>
              <w:right w:val="single" w:sz="4" w:space="0" w:color="auto"/>
            </w:tcBorders>
            <w:noWrap/>
            <w:vAlign w:val="bottom"/>
          </w:tcPr>
          <w:p w14:paraId="40E6966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365" w:type="dxa"/>
            <w:tcBorders>
              <w:top w:val="single" w:sz="4" w:space="0" w:color="auto"/>
              <w:left w:val="nil"/>
              <w:bottom w:val="single" w:sz="4" w:space="0" w:color="auto"/>
              <w:right w:val="single" w:sz="4" w:space="0" w:color="auto"/>
            </w:tcBorders>
            <w:noWrap/>
            <w:vAlign w:val="bottom"/>
          </w:tcPr>
          <w:p w14:paraId="6925E37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high</w:t>
            </w:r>
          </w:p>
        </w:tc>
      </w:tr>
      <w:tr w:rsidR="00864B6D" w14:paraId="5082E771" w14:textId="77777777">
        <w:trPr>
          <w:trHeight w:val="255"/>
        </w:trPr>
        <w:tc>
          <w:tcPr>
            <w:tcW w:w="1060" w:type="dxa"/>
            <w:tcBorders>
              <w:top w:val="single" w:sz="4" w:space="0" w:color="auto"/>
              <w:left w:val="single" w:sz="4" w:space="0" w:color="auto"/>
              <w:bottom w:val="single" w:sz="4" w:space="0" w:color="auto"/>
              <w:right w:val="single" w:sz="4" w:space="0" w:color="auto"/>
            </w:tcBorders>
            <w:noWrap/>
            <w:vAlign w:val="bottom"/>
          </w:tcPr>
          <w:p w14:paraId="6055A4F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10</w:t>
            </w:r>
          </w:p>
        </w:tc>
        <w:tc>
          <w:tcPr>
            <w:tcW w:w="1080" w:type="dxa"/>
            <w:tcBorders>
              <w:top w:val="single" w:sz="4" w:space="0" w:color="auto"/>
              <w:left w:val="nil"/>
              <w:bottom w:val="single" w:sz="4" w:space="0" w:color="auto"/>
              <w:right w:val="single" w:sz="4" w:space="0" w:color="auto"/>
            </w:tcBorders>
            <w:noWrap/>
            <w:vAlign w:val="bottom"/>
          </w:tcPr>
          <w:p w14:paraId="50A7012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single" w:sz="4" w:space="0" w:color="auto"/>
              <w:left w:val="nil"/>
              <w:bottom w:val="single" w:sz="4" w:space="0" w:color="auto"/>
              <w:right w:val="single" w:sz="4" w:space="0" w:color="auto"/>
            </w:tcBorders>
            <w:noWrap/>
            <w:vAlign w:val="bottom"/>
          </w:tcPr>
          <w:p w14:paraId="31E347E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25</w:t>
            </w:r>
          </w:p>
        </w:tc>
        <w:tc>
          <w:tcPr>
            <w:tcW w:w="1360" w:type="dxa"/>
            <w:tcBorders>
              <w:top w:val="single" w:sz="4" w:space="0" w:color="auto"/>
              <w:left w:val="nil"/>
              <w:bottom w:val="single" w:sz="4" w:space="0" w:color="auto"/>
              <w:right w:val="single" w:sz="4" w:space="0" w:color="auto"/>
            </w:tcBorders>
            <w:noWrap/>
            <w:vAlign w:val="bottom"/>
          </w:tcPr>
          <w:p w14:paraId="774B090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18</w:t>
            </w:r>
          </w:p>
        </w:tc>
        <w:tc>
          <w:tcPr>
            <w:tcW w:w="1620" w:type="dxa"/>
            <w:tcBorders>
              <w:top w:val="single" w:sz="4" w:space="0" w:color="auto"/>
              <w:left w:val="nil"/>
              <w:bottom w:val="single" w:sz="4" w:space="0" w:color="auto"/>
              <w:right w:val="single" w:sz="4" w:space="0" w:color="auto"/>
            </w:tcBorders>
            <w:noWrap/>
            <w:vAlign w:val="bottom"/>
          </w:tcPr>
          <w:p w14:paraId="14A5C7F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28</w:t>
            </w:r>
          </w:p>
        </w:tc>
        <w:tc>
          <w:tcPr>
            <w:tcW w:w="1740" w:type="dxa"/>
            <w:tcBorders>
              <w:top w:val="single" w:sz="4" w:space="0" w:color="auto"/>
              <w:left w:val="nil"/>
              <w:bottom w:val="single" w:sz="4" w:space="0" w:color="auto"/>
              <w:right w:val="single" w:sz="4" w:space="0" w:color="auto"/>
            </w:tcBorders>
            <w:noWrap/>
            <w:vAlign w:val="bottom"/>
          </w:tcPr>
          <w:p w14:paraId="36F4ABE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24</w:t>
            </w:r>
          </w:p>
        </w:tc>
        <w:tc>
          <w:tcPr>
            <w:tcW w:w="1365" w:type="dxa"/>
            <w:tcBorders>
              <w:top w:val="single" w:sz="4" w:space="0" w:color="auto"/>
              <w:left w:val="nil"/>
              <w:bottom w:val="single" w:sz="4" w:space="0" w:color="auto"/>
              <w:right w:val="single" w:sz="4" w:space="0" w:color="auto"/>
            </w:tcBorders>
            <w:noWrap/>
            <w:vAlign w:val="bottom"/>
          </w:tcPr>
          <w:p w14:paraId="637311E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43A0FA80"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48F5C50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10</w:t>
            </w:r>
          </w:p>
        </w:tc>
        <w:tc>
          <w:tcPr>
            <w:tcW w:w="1080" w:type="dxa"/>
            <w:tcBorders>
              <w:top w:val="nil"/>
              <w:left w:val="nil"/>
              <w:bottom w:val="single" w:sz="4" w:space="0" w:color="auto"/>
              <w:right w:val="single" w:sz="4" w:space="0" w:color="auto"/>
            </w:tcBorders>
            <w:noWrap/>
            <w:vAlign w:val="bottom"/>
          </w:tcPr>
          <w:p w14:paraId="179545E3"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54A6D7DA"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57</w:t>
            </w:r>
          </w:p>
        </w:tc>
        <w:tc>
          <w:tcPr>
            <w:tcW w:w="1360" w:type="dxa"/>
            <w:tcBorders>
              <w:top w:val="nil"/>
              <w:left w:val="nil"/>
              <w:bottom w:val="single" w:sz="4" w:space="0" w:color="auto"/>
              <w:right w:val="single" w:sz="4" w:space="0" w:color="auto"/>
            </w:tcBorders>
            <w:noWrap/>
            <w:vAlign w:val="bottom"/>
          </w:tcPr>
          <w:p w14:paraId="1FB39D7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43</w:t>
            </w:r>
          </w:p>
        </w:tc>
        <w:tc>
          <w:tcPr>
            <w:tcW w:w="1620" w:type="dxa"/>
            <w:tcBorders>
              <w:top w:val="nil"/>
              <w:left w:val="nil"/>
              <w:bottom w:val="single" w:sz="4" w:space="0" w:color="auto"/>
              <w:right w:val="single" w:sz="4" w:space="0" w:color="auto"/>
            </w:tcBorders>
            <w:noWrap/>
            <w:vAlign w:val="bottom"/>
          </w:tcPr>
          <w:p w14:paraId="48AD8F5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28</w:t>
            </w:r>
          </w:p>
        </w:tc>
        <w:tc>
          <w:tcPr>
            <w:tcW w:w="1740" w:type="dxa"/>
            <w:tcBorders>
              <w:top w:val="nil"/>
              <w:left w:val="nil"/>
              <w:bottom w:val="single" w:sz="4" w:space="0" w:color="auto"/>
              <w:right w:val="single" w:sz="4" w:space="0" w:color="auto"/>
            </w:tcBorders>
            <w:noWrap/>
            <w:vAlign w:val="bottom"/>
          </w:tcPr>
          <w:p w14:paraId="4560C8A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15</w:t>
            </w:r>
          </w:p>
        </w:tc>
        <w:tc>
          <w:tcPr>
            <w:tcW w:w="1365" w:type="dxa"/>
            <w:tcBorders>
              <w:top w:val="nil"/>
              <w:left w:val="nil"/>
              <w:bottom w:val="single" w:sz="4" w:space="0" w:color="auto"/>
              <w:right w:val="single" w:sz="4" w:space="0" w:color="auto"/>
            </w:tcBorders>
            <w:noWrap/>
            <w:vAlign w:val="bottom"/>
          </w:tcPr>
          <w:p w14:paraId="2CFEBCE2"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61B45C55" w14:textId="77777777">
        <w:trPr>
          <w:trHeight w:val="255"/>
        </w:trPr>
        <w:tc>
          <w:tcPr>
            <w:tcW w:w="1060" w:type="dxa"/>
            <w:tcBorders>
              <w:top w:val="single" w:sz="4" w:space="0" w:color="auto"/>
              <w:left w:val="single" w:sz="4" w:space="0" w:color="auto"/>
              <w:bottom w:val="single" w:sz="4" w:space="0" w:color="auto"/>
              <w:right w:val="single" w:sz="4" w:space="0" w:color="auto"/>
            </w:tcBorders>
            <w:noWrap/>
            <w:vAlign w:val="bottom"/>
          </w:tcPr>
          <w:p w14:paraId="11B6D685" w14:textId="77777777" w:rsidR="00864B6D" w:rsidRDefault="00864B6D" w:rsidP="00650194">
            <w:pPr>
              <w:spacing w:line="276" w:lineRule="auto"/>
              <w:jc w:val="center"/>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noWrap/>
            <w:vAlign w:val="bottom"/>
          </w:tcPr>
          <w:p w14:paraId="2E5073E0" w14:textId="77777777" w:rsidR="00864B6D" w:rsidRDefault="00864B6D" w:rsidP="00650194">
            <w:pPr>
              <w:spacing w:line="276" w:lineRule="auto"/>
              <w:jc w:val="center"/>
              <w:rPr>
                <w:rFonts w:ascii="Arial" w:hAnsi="Arial" w:cs="Arial"/>
                <w:sz w:val="20"/>
                <w:szCs w:val="20"/>
              </w:rPr>
            </w:pPr>
          </w:p>
        </w:tc>
        <w:tc>
          <w:tcPr>
            <w:tcW w:w="1133" w:type="dxa"/>
            <w:tcBorders>
              <w:top w:val="single" w:sz="4" w:space="0" w:color="auto"/>
              <w:left w:val="nil"/>
              <w:bottom w:val="single" w:sz="4" w:space="0" w:color="auto"/>
              <w:right w:val="single" w:sz="4" w:space="0" w:color="auto"/>
            </w:tcBorders>
            <w:noWrap/>
            <w:vAlign w:val="bottom"/>
          </w:tcPr>
          <w:p w14:paraId="5F7A1DC2" w14:textId="77777777" w:rsidR="00864B6D" w:rsidRDefault="00864B6D" w:rsidP="00650194">
            <w:pPr>
              <w:spacing w:line="276" w:lineRule="auto"/>
              <w:jc w:val="center"/>
              <w:rPr>
                <w:rFonts w:ascii="Arial" w:hAnsi="Arial" w:cs="Arial"/>
                <w:sz w:val="20"/>
                <w:szCs w:val="20"/>
              </w:rPr>
            </w:pPr>
          </w:p>
        </w:tc>
        <w:tc>
          <w:tcPr>
            <w:tcW w:w="1360" w:type="dxa"/>
            <w:tcBorders>
              <w:top w:val="single" w:sz="4" w:space="0" w:color="auto"/>
              <w:left w:val="nil"/>
              <w:bottom w:val="single" w:sz="4" w:space="0" w:color="auto"/>
              <w:right w:val="single" w:sz="4" w:space="0" w:color="auto"/>
            </w:tcBorders>
            <w:noWrap/>
            <w:vAlign w:val="bottom"/>
          </w:tcPr>
          <w:p w14:paraId="6AD47CF5" w14:textId="77777777" w:rsidR="00864B6D" w:rsidRDefault="00864B6D" w:rsidP="00650194">
            <w:pPr>
              <w:spacing w:line="276" w:lineRule="auto"/>
              <w:jc w:val="center"/>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noWrap/>
            <w:vAlign w:val="bottom"/>
          </w:tcPr>
          <w:p w14:paraId="74CAA8E7" w14:textId="77777777" w:rsidR="00864B6D" w:rsidRDefault="00864B6D" w:rsidP="00650194">
            <w:pPr>
              <w:spacing w:line="276" w:lineRule="auto"/>
              <w:jc w:val="center"/>
              <w:rPr>
                <w:rFonts w:ascii="Arial" w:hAnsi="Arial" w:cs="Arial"/>
                <w:sz w:val="20"/>
                <w:szCs w:val="20"/>
              </w:rPr>
            </w:pPr>
          </w:p>
        </w:tc>
        <w:tc>
          <w:tcPr>
            <w:tcW w:w="1740" w:type="dxa"/>
            <w:tcBorders>
              <w:top w:val="single" w:sz="4" w:space="0" w:color="auto"/>
              <w:left w:val="nil"/>
              <w:bottom w:val="single" w:sz="4" w:space="0" w:color="auto"/>
              <w:right w:val="single" w:sz="4" w:space="0" w:color="auto"/>
            </w:tcBorders>
            <w:noWrap/>
            <w:vAlign w:val="bottom"/>
          </w:tcPr>
          <w:p w14:paraId="1DBEA752" w14:textId="77777777" w:rsidR="00864B6D" w:rsidRDefault="00864B6D" w:rsidP="00650194">
            <w:pPr>
              <w:spacing w:line="276" w:lineRule="auto"/>
              <w:jc w:val="center"/>
              <w:rPr>
                <w:rFonts w:ascii="Arial" w:hAnsi="Arial" w:cs="Arial"/>
                <w:sz w:val="20"/>
                <w:szCs w:val="20"/>
              </w:rPr>
            </w:pPr>
          </w:p>
        </w:tc>
        <w:tc>
          <w:tcPr>
            <w:tcW w:w="1365" w:type="dxa"/>
            <w:tcBorders>
              <w:top w:val="single" w:sz="4" w:space="0" w:color="auto"/>
              <w:left w:val="nil"/>
              <w:bottom w:val="single" w:sz="4" w:space="0" w:color="auto"/>
              <w:right w:val="single" w:sz="4" w:space="0" w:color="auto"/>
            </w:tcBorders>
            <w:noWrap/>
            <w:vAlign w:val="bottom"/>
          </w:tcPr>
          <w:p w14:paraId="3625C2F1" w14:textId="77777777" w:rsidR="00864B6D" w:rsidRDefault="00864B6D" w:rsidP="00650194">
            <w:pPr>
              <w:spacing w:line="276" w:lineRule="auto"/>
              <w:jc w:val="center"/>
              <w:rPr>
                <w:rFonts w:ascii="Arial" w:hAnsi="Arial" w:cs="Arial"/>
                <w:sz w:val="20"/>
                <w:szCs w:val="20"/>
              </w:rPr>
            </w:pPr>
          </w:p>
        </w:tc>
      </w:tr>
      <w:tr w:rsidR="00864B6D" w14:paraId="5844A104" w14:textId="77777777">
        <w:trPr>
          <w:trHeight w:val="255"/>
        </w:trPr>
        <w:tc>
          <w:tcPr>
            <w:tcW w:w="1060" w:type="dxa"/>
            <w:tcBorders>
              <w:top w:val="single" w:sz="4" w:space="0" w:color="auto"/>
              <w:left w:val="single" w:sz="4" w:space="0" w:color="auto"/>
              <w:bottom w:val="single" w:sz="4" w:space="0" w:color="auto"/>
              <w:right w:val="single" w:sz="4" w:space="0" w:color="auto"/>
            </w:tcBorders>
            <w:noWrap/>
            <w:vAlign w:val="bottom"/>
          </w:tcPr>
          <w:p w14:paraId="5F471F5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11A</w:t>
            </w:r>
          </w:p>
        </w:tc>
        <w:tc>
          <w:tcPr>
            <w:tcW w:w="1080" w:type="dxa"/>
            <w:tcBorders>
              <w:top w:val="single" w:sz="4" w:space="0" w:color="auto"/>
              <w:left w:val="nil"/>
              <w:bottom w:val="single" w:sz="4" w:space="0" w:color="auto"/>
              <w:right w:val="single" w:sz="4" w:space="0" w:color="auto"/>
            </w:tcBorders>
            <w:noWrap/>
            <w:vAlign w:val="bottom"/>
          </w:tcPr>
          <w:p w14:paraId="468A2D1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w:t>
            </w:r>
          </w:p>
        </w:tc>
        <w:tc>
          <w:tcPr>
            <w:tcW w:w="1133" w:type="dxa"/>
            <w:tcBorders>
              <w:top w:val="single" w:sz="4" w:space="0" w:color="auto"/>
              <w:left w:val="nil"/>
              <w:bottom w:val="single" w:sz="4" w:space="0" w:color="auto"/>
              <w:right w:val="single" w:sz="4" w:space="0" w:color="auto"/>
            </w:tcBorders>
            <w:noWrap/>
            <w:vAlign w:val="bottom"/>
          </w:tcPr>
          <w:p w14:paraId="3DF18994"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21</w:t>
            </w:r>
          </w:p>
        </w:tc>
        <w:tc>
          <w:tcPr>
            <w:tcW w:w="1360" w:type="dxa"/>
            <w:tcBorders>
              <w:top w:val="single" w:sz="4" w:space="0" w:color="auto"/>
              <w:left w:val="nil"/>
              <w:bottom w:val="single" w:sz="4" w:space="0" w:color="auto"/>
              <w:right w:val="single" w:sz="4" w:space="0" w:color="auto"/>
            </w:tcBorders>
            <w:noWrap/>
            <w:vAlign w:val="bottom"/>
          </w:tcPr>
          <w:p w14:paraId="7637B6A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20</w:t>
            </w:r>
          </w:p>
        </w:tc>
        <w:tc>
          <w:tcPr>
            <w:tcW w:w="1620" w:type="dxa"/>
            <w:tcBorders>
              <w:top w:val="single" w:sz="4" w:space="0" w:color="auto"/>
              <w:left w:val="nil"/>
              <w:bottom w:val="single" w:sz="4" w:space="0" w:color="auto"/>
              <w:right w:val="single" w:sz="4" w:space="0" w:color="auto"/>
            </w:tcBorders>
            <w:noWrap/>
            <w:vAlign w:val="bottom"/>
          </w:tcPr>
          <w:p w14:paraId="5266EDD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single" w:sz="4" w:space="0" w:color="auto"/>
              <w:left w:val="nil"/>
              <w:bottom w:val="single" w:sz="4" w:space="0" w:color="auto"/>
              <w:right w:val="single" w:sz="4" w:space="0" w:color="auto"/>
            </w:tcBorders>
            <w:noWrap/>
            <w:vAlign w:val="bottom"/>
          </w:tcPr>
          <w:p w14:paraId="51C06FA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15</w:t>
            </w:r>
          </w:p>
        </w:tc>
        <w:tc>
          <w:tcPr>
            <w:tcW w:w="1365" w:type="dxa"/>
            <w:tcBorders>
              <w:top w:val="single" w:sz="4" w:space="0" w:color="auto"/>
              <w:left w:val="nil"/>
              <w:bottom w:val="single" w:sz="4" w:space="0" w:color="auto"/>
              <w:right w:val="single" w:sz="4" w:space="0" w:color="auto"/>
            </w:tcBorders>
            <w:noWrap/>
            <w:vAlign w:val="bottom"/>
          </w:tcPr>
          <w:p w14:paraId="5E896716"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low</w:t>
            </w:r>
          </w:p>
        </w:tc>
      </w:tr>
      <w:tr w:rsidR="00864B6D" w14:paraId="7ECC76B5"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5BE1F11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11A</w:t>
            </w:r>
          </w:p>
        </w:tc>
        <w:tc>
          <w:tcPr>
            <w:tcW w:w="1080" w:type="dxa"/>
            <w:tcBorders>
              <w:top w:val="nil"/>
              <w:left w:val="nil"/>
              <w:bottom w:val="single" w:sz="4" w:space="0" w:color="auto"/>
              <w:right w:val="single" w:sz="4" w:space="0" w:color="auto"/>
            </w:tcBorders>
            <w:noWrap/>
            <w:vAlign w:val="bottom"/>
          </w:tcPr>
          <w:p w14:paraId="05EBDD80"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133" w:type="dxa"/>
            <w:tcBorders>
              <w:top w:val="nil"/>
              <w:left w:val="nil"/>
              <w:bottom w:val="single" w:sz="4" w:space="0" w:color="auto"/>
              <w:right w:val="single" w:sz="4" w:space="0" w:color="auto"/>
            </w:tcBorders>
            <w:noWrap/>
            <w:vAlign w:val="bottom"/>
          </w:tcPr>
          <w:p w14:paraId="449D238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35</w:t>
            </w:r>
          </w:p>
        </w:tc>
        <w:tc>
          <w:tcPr>
            <w:tcW w:w="1360" w:type="dxa"/>
            <w:tcBorders>
              <w:top w:val="nil"/>
              <w:left w:val="nil"/>
              <w:bottom w:val="single" w:sz="4" w:space="0" w:color="auto"/>
              <w:right w:val="single" w:sz="4" w:space="0" w:color="auto"/>
            </w:tcBorders>
            <w:noWrap/>
            <w:vAlign w:val="bottom"/>
          </w:tcPr>
          <w:p w14:paraId="5B69F74B"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31</w:t>
            </w:r>
          </w:p>
        </w:tc>
        <w:tc>
          <w:tcPr>
            <w:tcW w:w="1620" w:type="dxa"/>
            <w:tcBorders>
              <w:top w:val="nil"/>
              <w:left w:val="nil"/>
              <w:bottom w:val="single" w:sz="4" w:space="0" w:color="auto"/>
              <w:right w:val="single" w:sz="4" w:space="0" w:color="auto"/>
            </w:tcBorders>
            <w:noWrap/>
            <w:vAlign w:val="bottom"/>
          </w:tcPr>
          <w:p w14:paraId="0B40E9FE"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nil"/>
              <w:left w:val="nil"/>
              <w:bottom w:val="single" w:sz="4" w:space="0" w:color="auto"/>
              <w:right w:val="single" w:sz="4" w:space="0" w:color="auto"/>
            </w:tcBorders>
            <w:noWrap/>
            <w:vAlign w:val="bottom"/>
          </w:tcPr>
          <w:p w14:paraId="545D5E68"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13</w:t>
            </w:r>
          </w:p>
        </w:tc>
        <w:tc>
          <w:tcPr>
            <w:tcW w:w="1365" w:type="dxa"/>
            <w:tcBorders>
              <w:top w:val="nil"/>
              <w:left w:val="nil"/>
              <w:bottom w:val="single" w:sz="4" w:space="0" w:color="auto"/>
              <w:right w:val="single" w:sz="4" w:space="0" w:color="auto"/>
            </w:tcBorders>
            <w:noWrap/>
            <w:vAlign w:val="bottom"/>
          </w:tcPr>
          <w:p w14:paraId="1CFBB145"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r w:rsidR="00864B6D" w14:paraId="786B05FC" w14:textId="77777777">
        <w:trPr>
          <w:trHeight w:val="255"/>
        </w:trPr>
        <w:tc>
          <w:tcPr>
            <w:tcW w:w="1060" w:type="dxa"/>
            <w:tcBorders>
              <w:top w:val="nil"/>
              <w:left w:val="single" w:sz="4" w:space="0" w:color="auto"/>
              <w:bottom w:val="single" w:sz="4" w:space="0" w:color="auto"/>
              <w:right w:val="single" w:sz="4" w:space="0" w:color="auto"/>
            </w:tcBorders>
            <w:noWrap/>
            <w:vAlign w:val="bottom"/>
          </w:tcPr>
          <w:p w14:paraId="04F30B5F"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11A</w:t>
            </w:r>
          </w:p>
        </w:tc>
        <w:tc>
          <w:tcPr>
            <w:tcW w:w="1080" w:type="dxa"/>
            <w:tcBorders>
              <w:top w:val="nil"/>
              <w:left w:val="nil"/>
              <w:bottom w:val="single" w:sz="4" w:space="0" w:color="auto"/>
              <w:right w:val="single" w:sz="4" w:space="0" w:color="auto"/>
            </w:tcBorders>
            <w:noWrap/>
            <w:vAlign w:val="bottom"/>
          </w:tcPr>
          <w:p w14:paraId="7B07FAAC"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6</w:t>
            </w:r>
          </w:p>
        </w:tc>
        <w:tc>
          <w:tcPr>
            <w:tcW w:w="1133" w:type="dxa"/>
            <w:tcBorders>
              <w:top w:val="nil"/>
              <w:left w:val="nil"/>
              <w:bottom w:val="single" w:sz="4" w:space="0" w:color="auto"/>
              <w:right w:val="single" w:sz="4" w:space="0" w:color="auto"/>
            </w:tcBorders>
            <w:noWrap/>
            <w:vAlign w:val="bottom"/>
          </w:tcPr>
          <w:p w14:paraId="7C289D6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75</w:t>
            </w:r>
          </w:p>
        </w:tc>
        <w:tc>
          <w:tcPr>
            <w:tcW w:w="1360" w:type="dxa"/>
            <w:tcBorders>
              <w:top w:val="nil"/>
              <w:left w:val="nil"/>
              <w:bottom w:val="single" w:sz="4" w:space="0" w:color="auto"/>
              <w:right w:val="single" w:sz="4" w:space="0" w:color="auto"/>
            </w:tcBorders>
            <w:noWrap/>
            <w:vAlign w:val="bottom"/>
          </w:tcPr>
          <w:p w14:paraId="3D2B819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74</w:t>
            </w:r>
          </w:p>
        </w:tc>
        <w:tc>
          <w:tcPr>
            <w:tcW w:w="1620" w:type="dxa"/>
            <w:tcBorders>
              <w:top w:val="nil"/>
              <w:left w:val="nil"/>
              <w:bottom w:val="single" w:sz="4" w:space="0" w:color="auto"/>
              <w:right w:val="single" w:sz="4" w:space="0" w:color="auto"/>
            </w:tcBorders>
            <w:noWrap/>
            <w:vAlign w:val="bottom"/>
          </w:tcPr>
          <w:p w14:paraId="49182DF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19</w:t>
            </w:r>
          </w:p>
        </w:tc>
        <w:tc>
          <w:tcPr>
            <w:tcW w:w="1740" w:type="dxa"/>
            <w:tcBorders>
              <w:top w:val="nil"/>
              <w:left w:val="nil"/>
              <w:bottom w:val="single" w:sz="4" w:space="0" w:color="auto"/>
              <w:right w:val="single" w:sz="4" w:space="0" w:color="auto"/>
            </w:tcBorders>
            <w:noWrap/>
            <w:vAlign w:val="bottom"/>
          </w:tcPr>
          <w:p w14:paraId="3FA92777"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4</w:t>
            </w:r>
          </w:p>
        </w:tc>
        <w:tc>
          <w:tcPr>
            <w:tcW w:w="1365" w:type="dxa"/>
            <w:tcBorders>
              <w:top w:val="nil"/>
              <w:left w:val="nil"/>
              <w:bottom w:val="single" w:sz="4" w:space="0" w:color="auto"/>
              <w:right w:val="single" w:sz="4" w:space="0" w:color="auto"/>
            </w:tcBorders>
            <w:noWrap/>
            <w:vAlign w:val="bottom"/>
          </w:tcPr>
          <w:p w14:paraId="575BD0ED" w14:textId="77777777" w:rsidR="00864B6D" w:rsidRDefault="00864B6D" w:rsidP="00650194">
            <w:pPr>
              <w:spacing w:line="276" w:lineRule="auto"/>
              <w:jc w:val="center"/>
              <w:rPr>
                <w:rFonts w:ascii="Arial" w:hAnsi="Arial" w:cs="Arial"/>
                <w:sz w:val="20"/>
                <w:szCs w:val="20"/>
              </w:rPr>
            </w:pPr>
            <w:r>
              <w:rPr>
                <w:rFonts w:ascii="Arial" w:hAnsi="Arial" w:cs="Arial"/>
                <w:sz w:val="20"/>
                <w:szCs w:val="20"/>
              </w:rPr>
              <w:t> </w:t>
            </w:r>
          </w:p>
        </w:tc>
      </w:tr>
    </w:tbl>
    <w:p w14:paraId="3CD19859" w14:textId="77777777" w:rsidR="00864B6D" w:rsidRDefault="00864B6D" w:rsidP="00650194">
      <w:pPr>
        <w:spacing w:line="276" w:lineRule="auto"/>
      </w:pPr>
    </w:p>
    <w:p w14:paraId="4FCE554A" w14:textId="77777777" w:rsidR="00864B6D" w:rsidRDefault="00864B6D" w:rsidP="00650194">
      <w:pPr>
        <w:spacing w:line="276" w:lineRule="auto"/>
        <w:ind w:firstLine="720"/>
      </w:pPr>
      <w:r>
        <w:t xml:space="preserve">Units 7, 11B-E, and 12 were not analyzed because only fixed plot data was gathered for these stands of small diameter material.  The stand structure and composition of unit 7 is similar </w:t>
      </w:r>
      <w:r>
        <w:lastRenderedPageBreak/>
        <w:t>to that of unit 6 and therefore can be expected to have similar mortality projections and a low burnability.  Units 11B-E and 12 are moderately burnable and discussed more above.  Units 8 and 9 were not analyzed because burning is not an option in these stands of the current berry fields.</w:t>
      </w:r>
    </w:p>
    <w:p w14:paraId="39AAD23F" w14:textId="77777777" w:rsidR="000709F0" w:rsidRDefault="00864B6D" w:rsidP="00650194">
      <w:pPr>
        <w:spacing w:line="276" w:lineRule="auto"/>
        <w:ind w:firstLine="720"/>
      </w:pPr>
      <w:r>
        <w:t>As the chart illustrates, flame lengths of 2-3 feet are desirable and above 4 ft. should be avoided to prevent high level of mortality across tree species.  Based on outputs, units 2, 3, and 10 present the greatest opportunities for success in maintaining the desired canopy cover due to leave tree size, species, and resulting percent mortality.  If larger openings are allowable, units 1B, 4, 5, 11B-E, and 12 can be burned as long as desired post harvest prescription parameters are met.</w:t>
      </w:r>
    </w:p>
    <w:p w14:paraId="695096F9" w14:textId="77777777" w:rsidR="000709F0" w:rsidRDefault="000709F0" w:rsidP="00650194">
      <w:pPr>
        <w:spacing w:line="276" w:lineRule="auto"/>
      </w:pPr>
    </w:p>
    <w:p w14:paraId="53BCB15D" w14:textId="77777777" w:rsidR="000709F0" w:rsidRDefault="000709F0" w:rsidP="00650194">
      <w:pPr>
        <w:spacing w:line="276" w:lineRule="auto"/>
        <w:rPr>
          <w:u w:val="single"/>
        </w:rPr>
      </w:pPr>
      <w:r>
        <w:rPr>
          <w:u w:val="single"/>
        </w:rPr>
        <w:t>Cumulative Effects</w:t>
      </w:r>
    </w:p>
    <w:p w14:paraId="08ED0DA3" w14:textId="77777777" w:rsidR="000709F0" w:rsidRPr="000709F0" w:rsidRDefault="000709F0" w:rsidP="00650194">
      <w:pPr>
        <w:spacing w:line="276" w:lineRule="auto"/>
      </w:pPr>
      <w:r>
        <w:tab/>
        <w:t xml:space="preserve">There are no cumulative fire/fuels effects for the proposed units in this project.  All potential cumulative effects of smoke are regulated through compliance with the </w:t>
      </w:r>
      <w:r w:rsidRPr="00F939BE">
        <w:rPr>
          <w:rFonts w:cs="CHANII+TimesNewRoman"/>
          <w:color w:val="000000"/>
        </w:rPr>
        <w:t xml:space="preserve">State of Washington Department of Natural Resources Smoke Management Plan, which </w:t>
      </w:r>
      <w:r w:rsidRPr="00F939BE">
        <w:rPr>
          <w:color w:val="000000"/>
        </w:rPr>
        <w:t>meets the requirements of the Washington Clean Air Act (RCW 70.94), Forest Protection Laws (RCW 76.04), and the United States Clean Air Act (42 USC 7401 et seq.).</w:t>
      </w:r>
      <w:r>
        <w:rPr>
          <w:color w:val="000000"/>
        </w:rPr>
        <w:t xml:space="preserve">  All prescribed burning including that occurring on </w:t>
      </w:r>
      <w:r w:rsidR="009C5CB3">
        <w:rPr>
          <w:color w:val="000000"/>
        </w:rPr>
        <w:t>federal/</w:t>
      </w:r>
      <w:r>
        <w:rPr>
          <w:color w:val="000000"/>
        </w:rPr>
        <w:t>public, private</w:t>
      </w:r>
      <w:r w:rsidR="00F70CA1">
        <w:rPr>
          <w:color w:val="000000"/>
        </w:rPr>
        <w:t>,</w:t>
      </w:r>
      <w:r>
        <w:rPr>
          <w:color w:val="000000"/>
        </w:rPr>
        <w:t xml:space="preserve"> and state land is subject to the regulations and requirements of smoke reporting through the Department of Natural Resources</w:t>
      </w:r>
      <w:r w:rsidR="00F70CA1">
        <w:rPr>
          <w:color w:val="000000"/>
        </w:rPr>
        <w:t>.  Therefore, the level of smoke emissions will not exceed the standards allowed by the state and federal policy.</w:t>
      </w:r>
      <w:r w:rsidRPr="00F939BE">
        <w:rPr>
          <w:color w:val="000000"/>
        </w:rPr>
        <w:t xml:space="preserve"> </w:t>
      </w:r>
      <w:r w:rsidRPr="00F939BE">
        <w:rPr>
          <w:rFonts w:cs="CHANII+TimesNewRoman"/>
          <w:color w:val="000000"/>
        </w:rPr>
        <w:t xml:space="preserve"> </w:t>
      </w:r>
    </w:p>
    <w:p w14:paraId="0930D952" w14:textId="77777777" w:rsidR="00864B6D" w:rsidRDefault="00864B6D" w:rsidP="00650194">
      <w:pPr>
        <w:spacing w:line="276" w:lineRule="auto"/>
      </w:pPr>
      <w:r>
        <w:t xml:space="preserve">      </w:t>
      </w:r>
    </w:p>
    <w:p w14:paraId="320DCD9F" w14:textId="77777777" w:rsidR="00864B6D" w:rsidRDefault="00864B6D" w:rsidP="00650194">
      <w:pPr>
        <w:spacing w:line="276" w:lineRule="auto"/>
      </w:pPr>
    </w:p>
    <w:p w14:paraId="56961464" w14:textId="77777777" w:rsidR="00864B6D" w:rsidRDefault="00864B6D" w:rsidP="00650194">
      <w:pPr>
        <w:spacing w:line="276" w:lineRule="auto"/>
        <w:ind w:left="720" w:hanging="720"/>
        <w:rPr>
          <w:b/>
        </w:rPr>
      </w:pPr>
      <w:r>
        <w:rPr>
          <w:b/>
        </w:rPr>
        <w:br w:type="page"/>
      </w:r>
      <w:r>
        <w:rPr>
          <w:b/>
        </w:rPr>
        <w:lastRenderedPageBreak/>
        <w:t>References</w:t>
      </w:r>
    </w:p>
    <w:p w14:paraId="5699330B" w14:textId="77777777" w:rsidR="00864B6D" w:rsidRDefault="00864B6D" w:rsidP="00650194">
      <w:pPr>
        <w:spacing w:line="276" w:lineRule="auto"/>
        <w:ind w:left="720" w:hanging="720"/>
      </w:pPr>
      <w:r>
        <w:t xml:space="preserve">Agee, James K. </w:t>
      </w:r>
      <w:r>
        <w:rPr>
          <w:i/>
        </w:rPr>
        <w:t xml:space="preserve">Fire Ecology of the </w:t>
      </w:r>
      <w:smartTag w:uri="urn:schemas-microsoft-com:office:smarttags" w:element="place">
        <w:r>
          <w:rPr>
            <w:i/>
          </w:rPr>
          <w:t>Pacific Northwest</w:t>
        </w:r>
      </w:smartTag>
      <w:r>
        <w:t xml:space="preserve">. Island Press: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1993.</w:t>
      </w:r>
    </w:p>
    <w:p w14:paraId="4E480A5B" w14:textId="77777777" w:rsidR="00864B6D" w:rsidRDefault="00864B6D" w:rsidP="00650194">
      <w:pPr>
        <w:spacing w:line="276" w:lineRule="auto"/>
        <w:ind w:left="720" w:hanging="720"/>
      </w:pPr>
    </w:p>
    <w:p w14:paraId="3CC22B56" w14:textId="77777777" w:rsidR="00864B6D" w:rsidRDefault="00864B6D" w:rsidP="00650194">
      <w:pPr>
        <w:spacing w:line="276" w:lineRule="auto"/>
        <w:ind w:left="720" w:hanging="720"/>
      </w:pPr>
      <w:r>
        <w:t xml:space="preserve">Boyd, Robert. 1999. Introduction. In: Boyd, Robert, ed. Indians, fire, and the land in the </w:t>
      </w:r>
      <w:smartTag w:uri="urn:schemas-microsoft-com:office:smarttags" w:element="place">
        <w:r>
          <w:t>Pacific Northwest</w:t>
        </w:r>
      </w:smartTag>
      <w:r>
        <w:t xml:space="preserve">. </w:t>
      </w:r>
      <w:smartTag w:uri="urn:schemas-microsoft-com:office:smarttags" w:element="place">
        <w:smartTag w:uri="urn:schemas-microsoft-com:office:smarttags" w:element="City">
          <w:r>
            <w:t>Corvallis</w:t>
          </w:r>
        </w:smartTag>
        <w:r>
          <w:t xml:space="preserve">, </w:t>
        </w:r>
        <w:smartTag w:uri="urn:schemas-microsoft-com:office:smarttags" w:element="State">
          <w:r>
            <w:t>OR</w:t>
          </w:r>
        </w:smartTag>
      </w:smartTag>
      <w:r>
        <w:t xml:space="preserve">: </w:t>
      </w:r>
      <w:smartTag w:uri="urn:schemas-microsoft-com:office:smarttags" w:element="place">
        <w:smartTag w:uri="urn:schemas-microsoft-com:office:smarttags" w:element="State">
          <w:r>
            <w:t>Oregon</w:t>
          </w:r>
        </w:smartTag>
      </w:smartTag>
      <w:r>
        <w:t xml:space="preserve"> State University: 1-30. </w:t>
      </w:r>
    </w:p>
    <w:p w14:paraId="000559C3" w14:textId="77777777" w:rsidR="00864B6D" w:rsidRDefault="00864B6D" w:rsidP="00650194">
      <w:pPr>
        <w:spacing w:line="276" w:lineRule="auto"/>
        <w:ind w:left="720" w:hanging="720"/>
      </w:pPr>
    </w:p>
    <w:p w14:paraId="6851474F" w14:textId="77777777" w:rsidR="00864B6D" w:rsidRDefault="00864B6D" w:rsidP="00650194">
      <w:pPr>
        <w:spacing w:line="276" w:lineRule="auto"/>
        <w:ind w:left="720" w:hanging="720"/>
      </w:pPr>
      <w:r>
        <w:t xml:space="preserve">Brockway, Dale G. et al. “Plant Association and Management Guide for the Pacific Silver Fir </w:t>
      </w:r>
    </w:p>
    <w:p w14:paraId="112987C2" w14:textId="77777777" w:rsidR="00864B6D" w:rsidRDefault="00864B6D" w:rsidP="00650194">
      <w:pPr>
        <w:spacing w:line="276" w:lineRule="auto"/>
        <w:ind w:left="720" w:hanging="720"/>
      </w:pPr>
      <w:smartTag w:uri="urn:schemas-microsoft-com:office:smarttags" w:element="place">
        <w:smartTag w:uri="urn:schemas-microsoft-com:office:smarttags" w:element="PlaceType">
          <w:r>
            <w:t>Zone</w:t>
          </w:r>
        </w:smartTag>
        <w:r>
          <w:t xml:space="preserve"> </w:t>
        </w:r>
        <w:smartTag w:uri="urn:schemas-microsoft-com:office:smarttags" w:element="PlaceName">
          <w:r>
            <w:t>Gifford</w:t>
          </w:r>
        </w:smartTag>
        <w:r>
          <w:t xml:space="preserve"> </w:t>
        </w:r>
        <w:smartTag w:uri="urn:schemas-microsoft-com:office:smarttags" w:element="PlaceName">
          <w:r>
            <w:t>Pinchot</w:t>
          </w:r>
        </w:smartTag>
        <w:r>
          <w:t xml:space="preserve"> </w:t>
        </w:r>
        <w:smartTag w:uri="urn:schemas-microsoft-com:office:smarttags" w:element="PlaceType">
          <w:r>
            <w:t>National Forest</w:t>
          </w:r>
        </w:smartTag>
      </w:smartTag>
      <w:r>
        <w:t xml:space="preserve">”. R6-Ecol-130a-1983. USFS, 1983. </w:t>
      </w:r>
    </w:p>
    <w:p w14:paraId="0149C797" w14:textId="77777777" w:rsidR="00864B6D" w:rsidRDefault="00864B6D" w:rsidP="00650194">
      <w:pPr>
        <w:spacing w:line="276" w:lineRule="auto"/>
        <w:ind w:left="720" w:hanging="720"/>
      </w:pPr>
    </w:p>
    <w:p w14:paraId="067AA27B" w14:textId="77777777" w:rsidR="00864B6D" w:rsidRDefault="00864B6D" w:rsidP="00650194">
      <w:pPr>
        <w:spacing w:line="276" w:lineRule="auto"/>
        <w:ind w:left="720" w:hanging="720"/>
      </w:pPr>
      <w:r>
        <w:t xml:space="preserve">Coates, D.; Haeussler, S. 1986. A preliminary guide to the response of major species of competing vegetation to silvicultural treatments. Land Management Handbook Number 9. </w:t>
      </w:r>
      <w:smartTag w:uri="urn:schemas-microsoft-com:office:smarttags" w:element="place">
        <w:smartTag w:uri="urn:schemas-microsoft-com:office:smarttags" w:element="City">
          <w:r>
            <w:t>Victoria</w:t>
          </w:r>
        </w:smartTag>
        <w:r>
          <w:t xml:space="preserve">, </w:t>
        </w:r>
        <w:smartTag w:uri="urn:schemas-microsoft-com:office:smarttags" w:element="State">
          <w:r>
            <w:t>BC</w:t>
          </w:r>
        </w:smartTag>
      </w:smartTag>
      <w:r>
        <w:t xml:space="preserve">: Ministry of Forests, Information Services Branch. 88 p. </w:t>
      </w:r>
    </w:p>
    <w:p w14:paraId="29B80C1F" w14:textId="77777777" w:rsidR="00864B6D" w:rsidRDefault="00864B6D" w:rsidP="00650194">
      <w:pPr>
        <w:spacing w:line="276" w:lineRule="auto"/>
        <w:ind w:left="720" w:hanging="720"/>
      </w:pPr>
    </w:p>
    <w:p w14:paraId="14B5D285" w14:textId="77777777" w:rsidR="00864B6D" w:rsidRDefault="00864B6D" w:rsidP="00650194">
      <w:pPr>
        <w:spacing w:line="276" w:lineRule="auto"/>
        <w:ind w:left="720" w:hanging="720"/>
      </w:pPr>
      <w:r>
        <w:t xml:space="preserve">Donnelly, Steve. 1993. Spring burning by habitat type in relation to artificial restoration. </w:t>
      </w:r>
      <w:smartTag w:uri="urn:schemas-microsoft-com:office:smarttags" w:element="place">
        <w:smartTag w:uri="urn:schemas-microsoft-com:office:smarttags" w:element="City">
          <w:r>
            <w:t>McCall</w:t>
          </w:r>
        </w:smartTag>
        <w:r>
          <w:t xml:space="preserve">, </w:t>
        </w:r>
        <w:smartTag w:uri="urn:schemas-microsoft-com:office:smarttags" w:element="State">
          <w:r>
            <w:t>ID</w:t>
          </w:r>
        </w:smartTag>
      </w:smartTag>
      <w:r>
        <w:t xml:space="preserve">: </w:t>
      </w:r>
      <w:smartTag w:uri="urn:schemas-microsoft-com:office:smarttags" w:element="place">
        <w:smartTag w:uri="urn:schemas-microsoft-com:office:smarttags" w:element="country-region">
          <w:r>
            <w:t>U.S.</w:t>
          </w:r>
        </w:smartTag>
      </w:smartTag>
      <w:r>
        <w:t xml:space="preserve"> Department of Agriculture, </w:t>
      </w:r>
      <w:smartTag w:uri="urn:schemas-microsoft-com:office:smarttags" w:element="place">
        <w:r>
          <w:t>Forest</w:t>
        </w:r>
      </w:smartTag>
      <w:r>
        <w:t xml:space="preserve"> Service, Intermountain Region, </w:t>
      </w:r>
      <w:smartTag w:uri="urn:schemas-microsoft-com:office:smarttags" w:element="place">
        <w:smartTag w:uri="urn:schemas-microsoft-com:office:smarttags" w:element="PlaceName">
          <w:r>
            <w:t>Payette</w:t>
          </w:r>
        </w:smartTag>
        <w:r>
          <w:t xml:space="preserve"> </w:t>
        </w:r>
        <w:smartTag w:uri="urn:schemas-microsoft-com:office:smarttags" w:element="PlaceType">
          <w:r>
            <w:t>National Forest</w:t>
          </w:r>
        </w:smartTag>
      </w:smartTag>
      <w:r>
        <w:t xml:space="preserve">. 19 p. </w:t>
      </w:r>
    </w:p>
    <w:p w14:paraId="1E59F6EC" w14:textId="77777777" w:rsidR="00864B6D" w:rsidRDefault="00864B6D" w:rsidP="00650194">
      <w:pPr>
        <w:spacing w:line="276" w:lineRule="auto"/>
        <w:ind w:left="720" w:hanging="720"/>
      </w:pPr>
    </w:p>
    <w:p w14:paraId="7C627936" w14:textId="77777777" w:rsidR="00864B6D" w:rsidRDefault="00864B6D" w:rsidP="00650194">
      <w:pPr>
        <w:spacing w:line="276" w:lineRule="auto"/>
        <w:ind w:left="720" w:hanging="720"/>
      </w:pPr>
      <w:r>
        <w:t>Evers, Louisa, et al. “Fire Ecology of the Mid-Columbia Region”. USFS papers, 1996.</w:t>
      </w:r>
    </w:p>
    <w:p w14:paraId="68D0FB06" w14:textId="77777777" w:rsidR="00864B6D" w:rsidRDefault="00864B6D" w:rsidP="00650194">
      <w:pPr>
        <w:spacing w:line="276" w:lineRule="auto"/>
        <w:ind w:left="720" w:hanging="720"/>
      </w:pPr>
    </w:p>
    <w:p w14:paraId="343AF4B7" w14:textId="77777777" w:rsidR="001039DB" w:rsidRDefault="001039DB" w:rsidP="00650194">
      <w:pPr>
        <w:spacing w:before="100" w:beforeAutospacing="1" w:after="100" w:afterAutospacing="1" w:line="276" w:lineRule="auto"/>
        <w:ind w:left="720" w:hanging="720"/>
        <w:rPr>
          <w:lang w:val="en"/>
        </w:rPr>
      </w:pPr>
      <w:hyperlink r:id="rId5" w:history="1">
        <w:r w:rsidRPr="001039DB">
          <w:rPr>
            <w:rStyle w:val="Hyperlink"/>
            <w:color w:val="auto"/>
            <w:u w:val="none"/>
            <w:lang w:val="en"/>
          </w:rPr>
          <w:t xml:space="preserve">IPCC, 2007: Climate Change 2007: The Physical Science Basis. </w:t>
        </w:r>
      </w:hyperlink>
      <w:r>
        <w:rPr>
          <w:lang w:val="en"/>
        </w:rPr>
        <w:t xml:space="preserve"> Contribution of Working Group I to the Fourth Assessment Report of the Intergovernmental Panel on Climate Change [Solomon, S., D. Qin, M. Manning (eds.)]. </w:t>
      </w:r>
    </w:p>
    <w:p w14:paraId="54CADAA9" w14:textId="77777777" w:rsidR="00864B6D" w:rsidRDefault="00864B6D" w:rsidP="00650194">
      <w:pPr>
        <w:spacing w:line="276" w:lineRule="auto"/>
        <w:ind w:left="720" w:hanging="720"/>
      </w:pPr>
      <w:r>
        <w:t xml:space="preserve">Miller, Melanie. 1976. Shrub sprouting response to fire in a Douglas-fir/western larch ecosystem. </w:t>
      </w:r>
      <w:smartTag w:uri="urn:schemas-microsoft-com:office:smarttags" w:element="place">
        <w:smartTag w:uri="urn:schemas-microsoft-com:office:smarttags" w:element="City">
          <w:r>
            <w:t>Missoula</w:t>
          </w:r>
        </w:smartTag>
        <w:r>
          <w:t xml:space="preserve">, </w:t>
        </w:r>
        <w:smartTag w:uri="urn:schemas-microsoft-com:office:smarttags" w:element="State">
          <w:r>
            <w:t>MT</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Montana</w:t>
          </w:r>
        </w:smartTag>
      </w:smartTag>
      <w:r>
        <w:t>. 124 p. Thesis.</w:t>
      </w:r>
    </w:p>
    <w:p w14:paraId="0533587E" w14:textId="77777777" w:rsidR="00864B6D" w:rsidRDefault="00864B6D" w:rsidP="00650194">
      <w:pPr>
        <w:spacing w:line="276" w:lineRule="auto"/>
        <w:ind w:left="720" w:hanging="720"/>
      </w:pPr>
    </w:p>
    <w:p w14:paraId="1DD69E1C" w14:textId="77777777" w:rsidR="00864B6D" w:rsidRDefault="00864B6D" w:rsidP="00650194">
      <w:pPr>
        <w:spacing w:line="276" w:lineRule="auto"/>
        <w:ind w:left="720" w:hanging="720"/>
      </w:pPr>
      <w:r>
        <w:t xml:space="preserve">Miller, Melanie. 1977. Response of blue huckleberry to prescribed fires in a western </w:t>
      </w:r>
      <w:smartTag w:uri="urn:schemas-microsoft-com:office:smarttags" w:element="place">
        <w:smartTag w:uri="urn:schemas-microsoft-com:office:smarttags" w:element="State">
          <w:r>
            <w:t>Montana</w:t>
          </w:r>
        </w:smartTag>
      </w:smartTag>
      <w:r>
        <w:t xml:space="preserve"> larch-fir forest. Gen. Tech. Rep. INT-188. </w:t>
      </w:r>
      <w:smartTag w:uri="urn:schemas-microsoft-com:office:smarttags" w:element="place">
        <w:smartTag w:uri="urn:schemas-microsoft-com:office:smarttags" w:element="City">
          <w:r>
            <w:t>Ogden</w:t>
          </w:r>
        </w:smartTag>
        <w:r>
          <w:t xml:space="preserve">, </w:t>
        </w:r>
        <w:smartTag w:uri="urn:schemas-microsoft-com:office:smarttags" w:element="State">
          <w:r>
            <w:t>UT</w:t>
          </w:r>
        </w:smartTag>
      </w:smartTag>
      <w:r>
        <w:t xml:space="preserve">: </w:t>
      </w:r>
      <w:smartTag w:uri="urn:schemas-microsoft-com:office:smarttags" w:element="place">
        <w:smartTag w:uri="urn:schemas-microsoft-com:office:smarttags" w:element="country-region">
          <w:r>
            <w:t>U.S.</w:t>
          </w:r>
        </w:smartTag>
      </w:smartTag>
      <w:r>
        <w:t xml:space="preserve"> Department of Agriculture, </w:t>
      </w:r>
      <w:smartTag w:uri="urn:schemas-microsoft-com:office:smarttags" w:element="place">
        <w:r>
          <w:t>Forest</w:t>
        </w:r>
      </w:smartTag>
      <w:r>
        <w:t xml:space="preserve"> Service, </w:t>
      </w:r>
      <w:smartTag w:uri="urn:schemas-microsoft-com:office:smarttags" w:element="place">
        <w:smartTag w:uri="urn:schemas-microsoft-com:office:smarttags" w:element="PlaceType">
          <w:r>
            <w:t>Intermountain</w:t>
          </w:r>
        </w:smartTag>
        <w:r>
          <w:t xml:space="preserve"> </w:t>
        </w:r>
        <w:smartTag w:uri="urn:schemas-microsoft-com:office:smarttags" w:element="PlaceType">
          <w:r>
            <w:t>Forest</w:t>
          </w:r>
        </w:smartTag>
      </w:smartTag>
      <w:r>
        <w:t xml:space="preserve"> and Range Experiment Station. 33 p.</w:t>
      </w:r>
    </w:p>
    <w:p w14:paraId="4D7C64D3" w14:textId="77777777" w:rsidR="00864B6D" w:rsidRDefault="00864B6D" w:rsidP="00650194">
      <w:pPr>
        <w:spacing w:line="276" w:lineRule="auto"/>
        <w:ind w:left="720" w:hanging="720"/>
      </w:pPr>
    </w:p>
    <w:p w14:paraId="3834C586" w14:textId="77777777" w:rsidR="00864B6D" w:rsidRDefault="00864B6D" w:rsidP="00650194">
      <w:pPr>
        <w:spacing w:line="276" w:lineRule="auto"/>
        <w:ind w:left="720" w:hanging="720"/>
      </w:pPr>
      <w:r>
        <w:t xml:space="preserve">Minore, Don. 1972. The wild huckleberries of </w:t>
      </w:r>
      <w:smartTag w:uri="urn:schemas-microsoft-com:office:smarttags" w:element="place">
        <w:smartTag w:uri="urn:schemas-microsoft-com:office:smarttags" w:element="State">
          <w:r>
            <w:t>Oregon</w:t>
          </w:r>
        </w:smartTag>
      </w:smartTag>
      <w:r>
        <w:t xml:space="preserve"> and </w:t>
      </w:r>
      <w:smartTag w:uri="urn:schemas-microsoft-com:office:smarttags" w:element="place">
        <w:smartTag w:uri="urn:schemas-microsoft-com:office:smarttags" w:element="State">
          <w:r>
            <w:t>Washington</w:t>
          </w:r>
        </w:smartTag>
      </w:smartTag>
      <w:r>
        <w:t xml:space="preserve"> -- a dwindling resource. PNW-143. </w:t>
      </w: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smartTag>
      <w:r>
        <w:t xml:space="preserve">: </w:t>
      </w:r>
      <w:smartTag w:uri="urn:schemas-microsoft-com:office:smarttags" w:element="place">
        <w:smartTag w:uri="urn:schemas-microsoft-com:office:smarttags" w:element="country-region">
          <w:r>
            <w:t>U.S.</w:t>
          </w:r>
        </w:smartTag>
      </w:smartTag>
      <w:r>
        <w:t xml:space="preserve"> Department of Agriculture, </w:t>
      </w:r>
      <w:smartTag w:uri="urn:schemas-microsoft-com:office:smarttags" w:element="place">
        <w:r>
          <w:t>Forest</w:t>
        </w:r>
      </w:smartTag>
      <w:r>
        <w:t xml:space="preserve"> Service, </w:t>
      </w:r>
      <w:smartTag w:uri="urn:schemas-microsoft-com:office:smarttags" w:element="place">
        <w:smartTag w:uri="urn:schemas-microsoft-com:office:smarttags" w:element="PlaceName">
          <w:r>
            <w:t>Pacific Northwest</w:t>
          </w:r>
        </w:smartTag>
        <w:r>
          <w:t xml:space="preserve"> </w:t>
        </w:r>
        <w:smartTag w:uri="urn:schemas-microsoft-com:office:smarttags" w:element="PlaceType">
          <w:r>
            <w:t>Forest</w:t>
          </w:r>
        </w:smartTag>
      </w:smartTag>
      <w:r>
        <w:t xml:space="preserve"> and Range Experiment Station. 20 p. </w:t>
      </w:r>
    </w:p>
    <w:p w14:paraId="5B8A7B79" w14:textId="77777777" w:rsidR="00864B6D" w:rsidRDefault="00864B6D" w:rsidP="00650194">
      <w:pPr>
        <w:spacing w:line="276" w:lineRule="auto"/>
      </w:pPr>
    </w:p>
    <w:sectPr w:rsidR="00864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ANI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5752"/>
    <w:multiLevelType w:val="multilevel"/>
    <w:tmpl w:val="568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972EA"/>
    <w:multiLevelType w:val="multilevel"/>
    <w:tmpl w:val="A32C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E6755"/>
    <w:multiLevelType w:val="hybridMultilevel"/>
    <w:tmpl w:val="E0E8A416"/>
    <w:lvl w:ilvl="0" w:tplc="15D61864">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951088">
    <w:abstractNumId w:val="2"/>
  </w:num>
  <w:num w:numId="2" w16cid:durableId="495614710">
    <w:abstractNumId w:val="1"/>
  </w:num>
  <w:num w:numId="3" w16cid:durableId="14289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EA5"/>
    <w:rsid w:val="0000080D"/>
    <w:rsid w:val="00012196"/>
    <w:rsid w:val="000709F0"/>
    <w:rsid w:val="000826FC"/>
    <w:rsid w:val="001039DB"/>
    <w:rsid w:val="00110210"/>
    <w:rsid w:val="00132E3A"/>
    <w:rsid w:val="001A6459"/>
    <w:rsid w:val="00300CB3"/>
    <w:rsid w:val="00374958"/>
    <w:rsid w:val="00376833"/>
    <w:rsid w:val="00406086"/>
    <w:rsid w:val="005F1E6F"/>
    <w:rsid w:val="00600720"/>
    <w:rsid w:val="00650194"/>
    <w:rsid w:val="006D7EC0"/>
    <w:rsid w:val="00735EA5"/>
    <w:rsid w:val="007767FF"/>
    <w:rsid w:val="007A05A3"/>
    <w:rsid w:val="00864B6D"/>
    <w:rsid w:val="009C5CB3"/>
    <w:rsid w:val="00A66443"/>
    <w:rsid w:val="00AA265B"/>
    <w:rsid w:val="00AA5024"/>
    <w:rsid w:val="00AC59D1"/>
    <w:rsid w:val="00B70FCE"/>
    <w:rsid w:val="00B90A1C"/>
    <w:rsid w:val="00CB154B"/>
    <w:rsid w:val="00D66D20"/>
    <w:rsid w:val="00DD77B1"/>
    <w:rsid w:val="00F70CA1"/>
    <w:rsid w:val="00F939BE"/>
    <w:rsid w:val="00F957D0"/>
    <w:rsid w:val="00FD0828"/>
    <w:rsid w:val="00FD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E77F81"/>
  <w15:chartTrackingRefBased/>
  <w15:docId w15:val="{90CCFA8D-181A-4C2C-8553-342CE7F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styleId="Hyperlink">
    <w:name w:val="Hyperlink"/>
    <w:rsid w:val="00AC59D1"/>
    <w:rPr>
      <w:color w:val="0000FF"/>
      <w:u w:val="single"/>
    </w:rPr>
  </w:style>
  <w:style w:type="character" w:styleId="FollowedHyperlink">
    <w:name w:val="FollowedHyperlink"/>
    <w:rsid w:val="00300CB3"/>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50117">
      <w:bodyDiv w:val="1"/>
      <w:marLeft w:val="0"/>
      <w:marRight w:val="0"/>
      <w:marTop w:val="0"/>
      <w:marBottom w:val="0"/>
      <w:divBdr>
        <w:top w:val="none" w:sz="0" w:space="0" w:color="auto"/>
        <w:left w:val="none" w:sz="0" w:space="0" w:color="auto"/>
        <w:bottom w:val="none" w:sz="0" w:space="0" w:color="auto"/>
        <w:right w:val="none" w:sz="0" w:space="0" w:color="auto"/>
      </w:divBdr>
      <w:divsChild>
        <w:div w:id="664941870">
          <w:marLeft w:val="0"/>
          <w:marRight w:val="0"/>
          <w:marTop w:val="0"/>
          <w:marBottom w:val="0"/>
          <w:divBdr>
            <w:top w:val="none" w:sz="0" w:space="0" w:color="auto"/>
            <w:left w:val="none" w:sz="0" w:space="0" w:color="auto"/>
            <w:bottom w:val="none" w:sz="0" w:space="0" w:color="auto"/>
            <w:right w:val="none" w:sz="0" w:space="0" w:color="auto"/>
          </w:divBdr>
        </w:div>
      </w:divsChild>
    </w:div>
    <w:div w:id="1715542614">
      <w:bodyDiv w:val="1"/>
      <w:marLeft w:val="0"/>
      <w:marRight w:val="0"/>
      <w:marTop w:val="0"/>
      <w:marBottom w:val="0"/>
      <w:divBdr>
        <w:top w:val="none" w:sz="0" w:space="0" w:color="auto"/>
        <w:left w:val="none" w:sz="0" w:space="0" w:color="auto"/>
        <w:bottom w:val="none" w:sz="0" w:space="0" w:color="auto"/>
        <w:right w:val="none" w:sz="0" w:space="0" w:color="auto"/>
      </w:divBdr>
      <w:divsChild>
        <w:div w:id="124742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pcc-wg1.ucar.edu/wg1/wg1-repor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3782</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Fire Ecology</vt:lpstr>
    </vt:vector>
  </TitlesOfParts>
  <Company>USDA Forest Service</Company>
  <LinksUpToDate>false</LinksUpToDate>
  <CharactersWithSpaces>25290</CharactersWithSpaces>
  <SharedDoc>false</SharedDoc>
  <HLinks>
    <vt:vector size="12" baseType="variant">
      <vt:variant>
        <vt:i4>131156</vt:i4>
      </vt:variant>
      <vt:variant>
        <vt:i4>3</vt:i4>
      </vt:variant>
      <vt:variant>
        <vt:i4>0</vt:i4>
      </vt:variant>
      <vt:variant>
        <vt:i4>5</vt:i4>
      </vt:variant>
      <vt:variant>
        <vt:lpwstr>http://ipcc-wg1.ucar.edu/wg1/wg1-report.html</vt:lpwstr>
      </vt:variant>
      <vt:variant>
        <vt:lpwstr/>
      </vt:variant>
      <vt:variant>
        <vt:i4>6094942</vt:i4>
      </vt:variant>
      <vt:variant>
        <vt:i4>0</vt:i4>
      </vt:variant>
      <vt:variant>
        <vt:i4>0</vt:i4>
      </vt:variant>
      <vt:variant>
        <vt:i4>5</vt:i4>
      </vt:variant>
      <vt:variant>
        <vt:lpwstr>http://www.epa.gov/climatechange/science/stateofknowledge.html</vt:lpwstr>
      </vt:variant>
      <vt:variant>
        <vt:lpwstr>ref#ref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Ecology</dc:title>
  <dc:subject/>
  <dc:creator>FSDefaultUser</dc:creator>
  <cp:keywords/>
  <dc:description/>
  <cp:lastModifiedBy>Lum-Naihe, Christof Jurh duk - FS, AZ</cp:lastModifiedBy>
  <cp:revision>2</cp:revision>
  <cp:lastPrinted>2008-04-17T19:40:00Z</cp:lastPrinted>
  <dcterms:created xsi:type="dcterms:W3CDTF">2025-08-05T18:06:00Z</dcterms:created>
  <dcterms:modified xsi:type="dcterms:W3CDTF">2025-08-05T18:06:00Z</dcterms:modified>
</cp:coreProperties>
</file>