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5B047" w14:textId="1A14AF20" w:rsidR="004A2A69" w:rsidRDefault="004A2A69" w:rsidP="00E76E11">
      <w:pPr>
        <w:pStyle w:val="Heading1"/>
      </w:pPr>
      <w:r w:rsidRPr="004A2A69">
        <w:t>Classification Key for the Prince of Wales Existing Vegetation Map</w:t>
      </w:r>
    </w:p>
    <w:p w14:paraId="55E725D5" w14:textId="77777777" w:rsidR="004A2A69" w:rsidRPr="004A2A69" w:rsidRDefault="004A2A69" w:rsidP="004A2A69"/>
    <w:tbl>
      <w:tblPr>
        <w:tblW w:w="9620" w:type="dxa"/>
        <w:tblLook w:val="04A0" w:firstRow="1" w:lastRow="0" w:firstColumn="1" w:lastColumn="0" w:noHBand="0" w:noVBand="1"/>
      </w:tblPr>
      <w:tblGrid>
        <w:gridCol w:w="896"/>
        <w:gridCol w:w="3684"/>
        <w:gridCol w:w="1980"/>
        <w:gridCol w:w="1349"/>
        <w:gridCol w:w="271"/>
        <w:gridCol w:w="1260"/>
        <w:gridCol w:w="180"/>
      </w:tblGrid>
      <w:tr w:rsidR="004A2A69" w:rsidRPr="00687333" w14:paraId="14B9C54C" w14:textId="77777777" w:rsidTr="00AA5B79">
        <w:trPr>
          <w:trHeight w:val="499"/>
        </w:trPr>
        <w:tc>
          <w:tcPr>
            <w:tcW w:w="96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E762A"/>
            <w:vAlign w:val="center"/>
            <w:hideMark/>
          </w:tcPr>
          <w:p w14:paraId="5488874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Master Key</w:t>
            </w:r>
          </w:p>
        </w:tc>
      </w:tr>
      <w:tr w:rsidR="004A2A69" w:rsidRPr="00687333" w14:paraId="2EE5CE0F" w14:textId="77777777" w:rsidTr="00AA5B79">
        <w:trPr>
          <w:trHeight w:val="2202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D2B1A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Couplet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F7151C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Vegetation Formations Key- Cover values in the key to formations are absolute and relative cover. Tree cover includes both regeneration and overstory trees, so that young stand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s</w:t>
            </w: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are classified as forest. Some young regeneration stands may be also classified as shrublands if trees are less than 1.5 m tall.  (</w:t>
            </w:r>
            <w:r w:rsidRPr="0068733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1"/>
                <w:szCs w:val="21"/>
              </w:rPr>
              <w:t>Absolute cover</w:t>
            </w:r>
            <w:r w:rsidRPr="00687333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</w:rPr>
              <w:t xml:space="preserve"> is the proportion of the plot's area included in the perpendicular downward projection of the species, or "Seen from Above". </w:t>
            </w:r>
            <w:r w:rsidRPr="00687333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1"/>
                <w:szCs w:val="21"/>
              </w:rPr>
              <w:t>Relative cover</w:t>
            </w:r>
            <w:r w:rsidRPr="00687333"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</w:rPr>
              <w:t xml:space="preserve"> of a species is the proportion it composes of the total plant cover of that lifeform on the plot. Relative cover values are calculated from absolute cover values</w:t>
            </w: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).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7F1B628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Lifeform Type</w:t>
            </w:r>
          </w:p>
        </w:tc>
      </w:tr>
      <w:tr w:rsidR="004A2A69" w:rsidRPr="00687333" w14:paraId="658E0EBC" w14:textId="77777777" w:rsidTr="00AA5B79">
        <w:trPr>
          <w:trHeight w:val="85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F1C3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1a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9749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Human Modified Vegetation: where vegetation displays a characteristic of intensive human disturbance or man-made structures that will not recover to a natural habitat i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e. Rock pits, roads, human settlements, LTF's.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B65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Developed</w:t>
            </w:r>
          </w:p>
        </w:tc>
      </w:tr>
      <w:tr w:rsidR="004A2A69" w:rsidRPr="00687333" w14:paraId="6CA33F24" w14:textId="77777777" w:rsidTr="00AA5B79">
        <w:trPr>
          <w:trHeight w:val="85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335E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1b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44C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Natural Vegetation: where vegetation may or may not display some human or other disturbance, but if disturbed, will be left to recover to a natural habitat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i.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e. </w:t>
            </w: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Clearcuts</w:t>
            </w:r>
            <w:proofErr w:type="spellEnd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landslides.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B576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</w:tr>
      <w:tr w:rsidR="004A2A69" w:rsidRPr="00687333" w14:paraId="551B1954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BA28A9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B6BA7A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21CC76A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2510561F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940B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2a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2C6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Total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tree cover is ≥ 10%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82E4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</w:tr>
      <w:tr w:rsidR="004A2A69" w:rsidRPr="00687333" w14:paraId="395B578B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AF4F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2b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77E9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Total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tree cover is &lt; 10%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1C8E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</w:tr>
      <w:tr w:rsidR="004A2A69" w:rsidRPr="00687333" w14:paraId="518FA14B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3A2EF7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286770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01505E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0F6D7D61" w14:textId="77777777" w:rsidTr="00AA5B79">
        <w:trPr>
          <w:trHeight w:val="57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8D3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3a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6D90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Total vascular vegetation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cover is &lt;25% and not dominated by open water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C0234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Barren/Sparse Vegetation</w:t>
            </w:r>
          </w:p>
        </w:tc>
      </w:tr>
      <w:tr w:rsidR="004A2A69" w:rsidRPr="00687333" w14:paraId="0D99B808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A8B5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3b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9FB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Total vascular vegetation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cover is &lt;25% and dominated by open water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F5056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Water</w:t>
            </w:r>
          </w:p>
        </w:tc>
      </w:tr>
      <w:tr w:rsidR="004A2A69" w:rsidRPr="00687333" w14:paraId="7AFBC93A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B4A4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3c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815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Total vascular vegetation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cover is ≥ 25%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9C09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</w:tr>
      <w:tr w:rsidR="004A2A69" w:rsidRPr="00687333" w14:paraId="3D50E498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63AC9C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19DF0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474BBA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6EED6894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61B9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4a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F37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Tree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cover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is ≥ 75% conifer species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D0D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Conifer Forest</w:t>
            </w:r>
          </w:p>
        </w:tc>
      </w:tr>
      <w:tr w:rsidR="004A2A69" w:rsidRPr="00687333" w14:paraId="5DC98C5D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DBBF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4b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EA1B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Tree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cover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is &lt;75% conifer species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DEBB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</w:tr>
      <w:tr w:rsidR="004A2A69" w:rsidRPr="00687333" w14:paraId="39B737D2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1AC339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C029B6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80D1A50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4E6BF428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3513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5a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062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Tree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cover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of broadleaf species is ≥75% of tree cover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B1E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Broadleaf Forest</w:t>
            </w:r>
          </w:p>
        </w:tc>
      </w:tr>
      <w:tr w:rsidR="004A2A69" w:rsidRPr="00687333" w14:paraId="7E64DBCB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803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5b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B397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Tree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cover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of broadleaf species is &lt;75% of tree cover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6EE3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Mixed Forest</w:t>
            </w:r>
          </w:p>
        </w:tc>
      </w:tr>
      <w:tr w:rsidR="004A2A69" w:rsidRPr="00687333" w14:paraId="5634D8EE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50F91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703156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2216538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40FE9CE9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629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6a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94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Shrub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 xml:space="preserve"> cover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is ≥ 25%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0B97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Shrub</w:t>
            </w:r>
          </w:p>
        </w:tc>
      </w:tr>
      <w:tr w:rsidR="004A2A69" w:rsidRPr="00687333" w14:paraId="7D97C585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768F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6b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EC3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Shrub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 xml:space="preserve"> cover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is &lt;25%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EB6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</w:tr>
      <w:tr w:rsidR="004A2A69" w:rsidRPr="00687333" w14:paraId="15B68027" w14:textId="77777777" w:rsidTr="00AA5B79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8184FD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D7B98B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F60F51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</w:rPr>
            </w:pPr>
          </w:p>
        </w:tc>
      </w:tr>
      <w:tr w:rsidR="004A2A69" w:rsidRPr="00687333" w14:paraId="4923AC71" w14:textId="77777777" w:rsidTr="00AA5B79">
        <w:trPr>
          <w:trHeight w:val="57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16F6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7a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9715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 xml:space="preserve"> cover 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of herbaceous species is ≥25% (includes graminoids and/or forbs, alone or could combine with &lt; 25% shrubs)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F7EA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Herbaceous</w:t>
            </w:r>
          </w:p>
        </w:tc>
      </w:tr>
      <w:tr w:rsidR="004A2A69" w:rsidRPr="00687333" w14:paraId="7515EC46" w14:textId="77777777" w:rsidTr="00AA5B79">
        <w:trPr>
          <w:trHeight w:val="58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3C1F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7b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FA1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cover of herbaceous species is &lt;25 (includes graminoid and/or forbs, alone or could combine with &lt;25% shrubs)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92C2" w14:textId="77777777" w:rsidR="004A2A69" w:rsidRPr="00687333" w:rsidRDefault="004A2A69" w:rsidP="00AA5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Barren/Sparse Vegetation</w:t>
            </w:r>
          </w:p>
        </w:tc>
      </w:tr>
      <w:tr w:rsidR="004A2A69" w:rsidRPr="00687333" w14:paraId="0A525176" w14:textId="77777777" w:rsidTr="00744BC0">
        <w:trPr>
          <w:gridAfter w:val="1"/>
          <w:wAfter w:w="180" w:type="dxa"/>
          <w:trHeight w:val="40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16246D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lastRenderedPageBreak/>
              <w:t>Couplet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80522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Conifer Forest Key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DB580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Dominance Type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CC4262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A1B7487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 Symbol</w:t>
            </w:r>
          </w:p>
        </w:tc>
      </w:tr>
      <w:tr w:rsidR="004A2A69" w:rsidRPr="00687333" w14:paraId="1C78ABE3" w14:textId="77777777" w:rsidTr="00744BC0">
        <w:trPr>
          <w:gridAfter w:val="1"/>
          <w:wAfter w:w="180" w:type="dxa"/>
          <w:trHeight w:val="85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DD6F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9C5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Sitka spruce with ≥ 60%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 xml:space="preserve"> 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cover; broadleaf trees or tall shrubs with &lt;30%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469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Sitka Spruce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EE7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Sitka Spruce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26EA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SS</w:t>
            </w:r>
          </w:p>
        </w:tc>
      </w:tr>
      <w:tr w:rsidR="004A2A69" w:rsidRPr="00687333" w14:paraId="3FCB0012" w14:textId="77777777" w:rsidTr="00744BC0">
        <w:trPr>
          <w:gridAfter w:val="1"/>
          <w:wAfter w:w="180" w:type="dxa"/>
          <w:trHeight w:val="85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4E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552A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Sitka spruce with ≥ 60%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cover, broadleaf trees or tall shrubs with ≥ 30%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CC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Go to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Mixed Forest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K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C1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AF5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292E09B3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8EE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1c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F28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Sitka spruce with &lt; 60%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 xml:space="preserve"> 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cover, no broadleaf trees present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25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686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8B6F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47EE4D50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36F2D7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0F01A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BEBAC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0F779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6B06B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788A705B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C90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2E7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Mountain Hemlock with ≥75%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464E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Mountain Hemlock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08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Mountain Hemlock Mix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536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MHmix</w:t>
            </w:r>
            <w:proofErr w:type="spellEnd"/>
          </w:p>
        </w:tc>
      </w:tr>
      <w:tr w:rsidR="004A2A69" w:rsidRPr="00687333" w14:paraId="3B69404A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47CB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6F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Mountain Hemlock with &lt;75%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A06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889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903D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12A649FC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D41F56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C318E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9E6C7F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B5082D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07571F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0E96D6BF" w14:textId="77777777" w:rsidTr="00744BC0">
        <w:trPr>
          <w:gridAfter w:val="1"/>
          <w:wAfter w:w="180" w:type="dxa"/>
          <w:trHeight w:val="85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D8F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E596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Mountain Hemlock present with &lt; 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 Sitka Spruce is present and can be </w:t>
            </w: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codomniant</w:t>
            </w:r>
            <w:proofErr w:type="spellEnd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A60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Sitka Spruce/Mountain Hemlock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2729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Mountain Hemlock Mix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55F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MHmix</w:t>
            </w:r>
            <w:proofErr w:type="spellEnd"/>
          </w:p>
        </w:tc>
      </w:tr>
      <w:tr w:rsidR="004A2A69" w:rsidRPr="00687333" w14:paraId="308AE69D" w14:textId="77777777" w:rsidTr="00744BC0">
        <w:trPr>
          <w:gridAfter w:val="1"/>
          <w:wAfter w:w="180" w:type="dxa"/>
          <w:trHeight w:val="85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08D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2DC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Mountain Hemlock if present is &lt; 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 Sitka Spruce is not present or if present, not </w:t>
            </w: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codomniant</w:t>
            </w:r>
            <w:proofErr w:type="spellEnd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minor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B11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23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9A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137B1D59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D4D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7BC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B0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51B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C8D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389A5E44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98E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B666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Subalpine Fir with ≥75%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5A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Subalpine Fir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1F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Mountain Hemlock Mix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017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MHmix</w:t>
            </w:r>
            <w:proofErr w:type="spellEnd"/>
          </w:p>
        </w:tc>
      </w:tr>
      <w:tr w:rsidR="004A2A69" w:rsidRPr="00687333" w14:paraId="65F23F84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325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131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Subalpine Fir with &lt;75%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366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4B2E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0E08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3D0ED836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7B9966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B8ADDB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F26F32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A0935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40BFE7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1D58D038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5A8B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78EA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Shorepine</w:t>
            </w:r>
            <w:proofErr w:type="spellEnd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with ≥ 60%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6A9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A67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9AE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23EE56F6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D2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301A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Shorepine</w:t>
            </w:r>
            <w:proofErr w:type="spellEnd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with &lt;60%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3DA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C5D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FD32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332D1E9A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8ACF25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3985A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C81409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B546A2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63728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56A345A7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BF5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0D2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Trees are stunted within a peatland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B175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Dwarf </w:t>
            </w: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Shorepine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C60B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Dwarf Conifer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D9A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DC</w:t>
            </w:r>
          </w:p>
        </w:tc>
      </w:tr>
      <w:tr w:rsidR="004A2A69" w:rsidRPr="00687333" w14:paraId="19176183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0969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0A5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Trees are not stunted within a peatland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191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Shorepine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3D2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Mixed Conifer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268A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MC</w:t>
            </w:r>
          </w:p>
        </w:tc>
      </w:tr>
      <w:tr w:rsidR="004A2A69" w:rsidRPr="00687333" w14:paraId="35CD5559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04AF37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C2958B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FB0B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5A3CD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DBA81D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687333" w14:paraId="5DC03634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181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0AC3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Red and yellow cedar are growing </w:t>
            </w:r>
            <w:proofErr w:type="gramStart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together</w:t>
            </w:r>
            <w:proofErr w:type="gramEnd"/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the combined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is ≥ 40%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925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Cedar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41D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Cedar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6D91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CE</w:t>
            </w:r>
          </w:p>
        </w:tc>
      </w:tr>
      <w:tr w:rsidR="004A2A69" w:rsidRPr="00687333" w14:paraId="138DD785" w14:textId="77777777" w:rsidTr="00744BC0">
        <w:trPr>
          <w:gridAfter w:val="1"/>
          <w:wAfter w:w="180" w:type="dxa"/>
          <w:trHeight w:val="8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63A0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B8D5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Red and yellow cedar are not growing together. The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of either red or yellow is ≥ 40%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96B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2A44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595C" w14:textId="77777777" w:rsidR="004A2A69" w:rsidRPr="0068733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65D9A578" w14:textId="77777777" w:rsidTr="00744BC0">
        <w:trPr>
          <w:gridAfter w:val="1"/>
          <w:wAfter w:w="180" w:type="dxa"/>
          <w:trHeight w:val="330"/>
        </w:trPr>
        <w:tc>
          <w:tcPr>
            <w:tcW w:w="896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auto"/>
            <w:noWrap/>
            <w:vAlign w:val="center"/>
          </w:tcPr>
          <w:p w14:paraId="507EC69C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auto"/>
            <w:vAlign w:val="center"/>
          </w:tcPr>
          <w:p w14:paraId="2A96340D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auto"/>
            <w:vAlign w:val="center"/>
          </w:tcPr>
          <w:p w14:paraId="5F57A758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auto"/>
            <w:vAlign w:val="center"/>
          </w:tcPr>
          <w:p w14:paraId="40BBC5E4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auto"/>
            <w:vAlign w:val="bottom"/>
          </w:tcPr>
          <w:p w14:paraId="7EA39D62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4B50" w:rsidRPr="00687333" w14:paraId="7674603C" w14:textId="77777777" w:rsidTr="00744BC0">
        <w:trPr>
          <w:gridAfter w:val="1"/>
          <w:wAfter w:w="180" w:type="dxa"/>
          <w:trHeight w:val="330"/>
        </w:trPr>
        <w:tc>
          <w:tcPr>
            <w:tcW w:w="8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000000" w:fill="auto"/>
            <w:noWrap/>
            <w:vAlign w:val="center"/>
          </w:tcPr>
          <w:p w14:paraId="7A76E11D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000000" w:fill="auto"/>
            <w:vAlign w:val="center"/>
          </w:tcPr>
          <w:p w14:paraId="3DA705B4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000000" w:fill="auto"/>
            <w:vAlign w:val="center"/>
          </w:tcPr>
          <w:p w14:paraId="4B92A115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000000" w:fill="auto"/>
            <w:vAlign w:val="center"/>
          </w:tcPr>
          <w:p w14:paraId="533A8289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000000" w:fill="auto"/>
            <w:vAlign w:val="bottom"/>
          </w:tcPr>
          <w:p w14:paraId="06AEAECB" w14:textId="77777777" w:rsidR="005D4B50" w:rsidRPr="00687333" w:rsidRDefault="005D4B50" w:rsidP="005D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4B50" w:rsidRPr="00687333" w14:paraId="32C9B34B" w14:textId="77777777" w:rsidTr="00744BC0">
        <w:trPr>
          <w:gridAfter w:val="1"/>
          <w:wAfter w:w="180" w:type="dxa"/>
          <w:trHeight w:val="33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91CC87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Couplet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602E42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Conifer Forest Key (cont.)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DB844D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Dominance Type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6F4E2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15C8E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 Symbol</w:t>
            </w:r>
          </w:p>
        </w:tc>
      </w:tr>
      <w:tr w:rsidR="005D4B50" w:rsidRPr="00687333" w14:paraId="544152B9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0881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7c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28E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Red or yellow cedar growing together or as a single species is &lt;40%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9C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761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422C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26498C1C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0F5AA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156B2C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BD3ACC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85665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B42DB1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3B703FEF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D97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5D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Red cedar with ≥ 40%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F71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Red Cedar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453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Cedar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B88F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CE</w:t>
            </w:r>
          </w:p>
        </w:tc>
      </w:tr>
      <w:tr w:rsidR="005D4B50" w:rsidRPr="00687333" w14:paraId="5152453C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8293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1792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Red cedar &lt; 40%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188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1E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D9DF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68D5CDC7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36E723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4E097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CE460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61DABB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10FD6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58744B53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D12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0D5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Yellow cedar ≥40%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 xml:space="preserve"> 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cover, most trees stunted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A6F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Dwarf Yellow Cedar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BAD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Dwarf Conifer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5A83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DC</w:t>
            </w:r>
          </w:p>
        </w:tc>
      </w:tr>
      <w:tr w:rsidR="005D4B50" w:rsidRPr="00687333" w14:paraId="103472AC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7A930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67789D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Yellow cedar &lt;40%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cover, most trees stunted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8B0FA8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Dwarf Conifer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E45F5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Dwarf Conifer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A9F77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DC</w:t>
            </w:r>
          </w:p>
        </w:tc>
      </w:tr>
      <w:tr w:rsidR="005D4B50" w:rsidRPr="00687333" w14:paraId="51A0CD3D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ED2D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9c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B622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Yellow cedar ≥40 %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cover, most trees not stunted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079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Yellow Cedar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685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Cedar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DEEC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CE</w:t>
            </w:r>
          </w:p>
        </w:tc>
      </w:tr>
      <w:tr w:rsidR="005D4B50" w:rsidRPr="00687333" w14:paraId="26D04DB6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7E4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E02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1B4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26C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D03B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2C04E1B9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16A3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4B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Western Hemlock with ≥ 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3A1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Western Hemlock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6A1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Western Hemlock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D47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WH</w:t>
            </w:r>
          </w:p>
        </w:tc>
      </w:tr>
      <w:tr w:rsidR="005D4B50" w:rsidRPr="00687333" w14:paraId="28D8B4ED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362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E3E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Western Hemlock with &lt;75%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AC6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992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4F23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04AD9A78" w14:textId="77777777" w:rsidTr="00744BC0">
        <w:trPr>
          <w:gridAfter w:val="1"/>
          <w:wAfter w:w="180" w:type="dxa"/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A1BF51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354A6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3882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3A8E3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6DC1B8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4EB6CCEF" w14:textId="77777777" w:rsidTr="00744BC0">
        <w:trPr>
          <w:gridAfter w:val="1"/>
          <w:wAfter w:w="180" w:type="dxa"/>
          <w:trHeight w:val="11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348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1C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Western Hemlock is &lt;75%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but is always combined with other species in various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covers. Stand is mid to late-seral. Not actively managed.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171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Mixed Conifer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23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Mixed Conifer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7B1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MC</w:t>
            </w:r>
          </w:p>
        </w:tc>
      </w:tr>
      <w:tr w:rsidR="005D4B50" w:rsidRPr="00687333" w14:paraId="2A01F882" w14:textId="77777777" w:rsidTr="00744BC0">
        <w:trPr>
          <w:gridAfter w:val="1"/>
          <w:wAfter w:w="180" w:type="dxa"/>
          <w:trHeight w:val="11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889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1A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Western Hemlock is &lt;75%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but is always combined with other species in various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covers. Stand is early seral. Actively managed.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2DD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0B4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DCBC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68D2EACA" w14:textId="77777777" w:rsidTr="00744BC0">
        <w:trPr>
          <w:gridAfter w:val="1"/>
          <w:wAfter w:w="180" w:type="dxa"/>
          <w:trHeight w:val="28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A74F6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9DAA1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91EF8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9E94A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B90A7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D4B50" w:rsidRPr="00687333" w14:paraId="39506A10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41BD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E13F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Sitka Spruce and/or Western Hemlock combined equals &lt; 90% total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3C2E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Mixed Species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61C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Mixed Species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5B4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MS</w:t>
            </w:r>
          </w:p>
        </w:tc>
      </w:tr>
      <w:tr w:rsidR="005D4B50" w:rsidRPr="00687333" w14:paraId="32E08D15" w14:textId="77777777" w:rsidTr="00744BC0">
        <w:trPr>
          <w:gridAfter w:val="1"/>
          <w:wAfter w:w="180" w:type="dxa"/>
          <w:trHeight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AA0C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12b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7E1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Sitka Spruce and Western Hemlock combined equals ≥ 90% total </w:t>
            </w:r>
            <w:r w:rsidRPr="0068733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870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Spruce-Hemlock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CBFD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Spruce-Hemlock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7CE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SH</w:t>
            </w:r>
          </w:p>
        </w:tc>
      </w:tr>
      <w:tr w:rsidR="005D4B50" w:rsidRPr="00687333" w14:paraId="64C946C0" w14:textId="77777777" w:rsidTr="00744BC0">
        <w:trPr>
          <w:gridAfter w:val="1"/>
          <w:wAfter w:w="180" w:type="dxa"/>
          <w:trHeight w:val="33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0E6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12c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D254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Site is none of the above forest species conditions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435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Unnamed Conifer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156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Unnamed Conifer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24A" w14:textId="77777777" w:rsidR="005D4B50" w:rsidRPr="00687333" w:rsidRDefault="005D4B50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873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UC</w:t>
            </w:r>
          </w:p>
        </w:tc>
      </w:tr>
    </w:tbl>
    <w:p w14:paraId="18AC13BC" w14:textId="77777777" w:rsidR="004A2A69" w:rsidRPr="0006191D" w:rsidRDefault="004A2A69" w:rsidP="004A2A69">
      <w:pPr>
        <w:rPr>
          <w:rFonts w:cstheme="minorHAnsi"/>
        </w:rPr>
      </w:pPr>
    </w:p>
    <w:p w14:paraId="1C7DE0ED" w14:textId="5C6DE1D2" w:rsidR="004A2A69" w:rsidRDefault="004A2A69" w:rsidP="004A2A69">
      <w:pPr>
        <w:rPr>
          <w:rFonts w:cstheme="minorHAnsi"/>
        </w:rPr>
      </w:pPr>
    </w:p>
    <w:p w14:paraId="242A9E78" w14:textId="77777777" w:rsidR="004A2A69" w:rsidRPr="008E49B4" w:rsidRDefault="004A2A69" w:rsidP="004A2A69">
      <w:pPr>
        <w:rPr>
          <w:rFonts w:cstheme="minorHAnsi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244"/>
        <w:gridCol w:w="1350"/>
        <w:gridCol w:w="1620"/>
        <w:gridCol w:w="1080"/>
        <w:gridCol w:w="2250"/>
      </w:tblGrid>
      <w:tr w:rsidR="004A2A69" w:rsidRPr="00990FC0" w14:paraId="44571E77" w14:textId="77777777" w:rsidTr="00744BC0">
        <w:trPr>
          <w:trHeight w:val="402"/>
          <w:jc w:val="center"/>
        </w:trPr>
        <w:tc>
          <w:tcPr>
            <w:tcW w:w="896" w:type="dxa"/>
            <w:shd w:val="clear" w:color="000000" w:fill="D0CECE"/>
            <w:noWrap/>
            <w:vAlign w:val="center"/>
            <w:hideMark/>
          </w:tcPr>
          <w:p w14:paraId="120E282E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lastRenderedPageBreak/>
              <w:t>Couplet</w:t>
            </w:r>
          </w:p>
        </w:tc>
        <w:tc>
          <w:tcPr>
            <w:tcW w:w="2244" w:type="dxa"/>
            <w:shd w:val="clear" w:color="000000" w:fill="D0CECE"/>
            <w:vAlign w:val="center"/>
            <w:hideMark/>
          </w:tcPr>
          <w:p w14:paraId="4428243C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Broadleaf Forest Key</w:t>
            </w:r>
          </w:p>
        </w:tc>
        <w:tc>
          <w:tcPr>
            <w:tcW w:w="1350" w:type="dxa"/>
            <w:shd w:val="clear" w:color="000000" w:fill="D0CECE"/>
            <w:vAlign w:val="center"/>
            <w:hideMark/>
          </w:tcPr>
          <w:p w14:paraId="5302DC20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Dominance Type</w:t>
            </w:r>
          </w:p>
        </w:tc>
        <w:tc>
          <w:tcPr>
            <w:tcW w:w="1620" w:type="dxa"/>
            <w:shd w:val="clear" w:color="000000" w:fill="D0CECE"/>
            <w:vAlign w:val="center"/>
            <w:hideMark/>
          </w:tcPr>
          <w:p w14:paraId="2FC398A9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</w:t>
            </w:r>
          </w:p>
        </w:tc>
        <w:tc>
          <w:tcPr>
            <w:tcW w:w="1080" w:type="dxa"/>
            <w:shd w:val="clear" w:color="000000" w:fill="D0CECE"/>
            <w:noWrap/>
            <w:vAlign w:val="center"/>
            <w:hideMark/>
          </w:tcPr>
          <w:p w14:paraId="7DC4477C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 Symbol</w:t>
            </w:r>
          </w:p>
        </w:tc>
        <w:tc>
          <w:tcPr>
            <w:tcW w:w="2250" w:type="dxa"/>
            <w:shd w:val="clear" w:color="000000" w:fill="D0CECE"/>
            <w:noWrap/>
            <w:vAlign w:val="center"/>
            <w:hideMark/>
          </w:tcPr>
          <w:p w14:paraId="6DF753CF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# of plots</w:t>
            </w:r>
          </w:p>
        </w:tc>
      </w:tr>
      <w:tr w:rsidR="004A2A69" w:rsidRPr="00990FC0" w14:paraId="7FFBB74F" w14:textId="77777777" w:rsidTr="00744BC0">
        <w:trPr>
          <w:trHeight w:val="1710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D389538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1a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5EC164F3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Alder present with ≥ 75% </w:t>
            </w:r>
            <w:r w:rsidRPr="00990FC0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cover.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C4AB5CA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Alder (any height)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92CD55C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Red Alder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01EF21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RA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D3FB47C" w14:textId="0B7CD879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33 plots (when combined with 8 Sitka Alder plots), red alder is along riparian areas, old roads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</w:t>
            </w: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units. Sitka alder is slide zones, beach fringes at high tide line (where red alder also is but red alder is taller when mature)</w:t>
            </w:r>
          </w:p>
        </w:tc>
      </w:tr>
      <w:tr w:rsidR="004A2A69" w:rsidRPr="00990FC0" w14:paraId="105DA0B6" w14:textId="77777777" w:rsidTr="00744BC0">
        <w:trPr>
          <w:trHeight w:val="570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6B44FBA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1b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7E63807D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Alder present or not, with &lt; 75%</w:t>
            </w:r>
            <w:r w:rsidRPr="00990FC0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 xml:space="preserve"> relative</w:t>
            </w: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A45273B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9FEEAF5" w14:textId="4F894F3B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88A1C1" w14:textId="61B169E4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4BB24068" w14:textId="6E383966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990FC0" w14:paraId="71F0BD45" w14:textId="77777777" w:rsidTr="00744BC0">
        <w:trPr>
          <w:trHeight w:val="300"/>
          <w:jc w:val="center"/>
        </w:trPr>
        <w:tc>
          <w:tcPr>
            <w:tcW w:w="896" w:type="dxa"/>
            <w:shd w:val="clear" w:color="000000" w:fill="E7E6E6"/>
            <w:noWrap/>
            <w:vAlign w:val="center"/>
            <w:hideMark/>
          </w:tcPr>
          <w:p w14:paraId="72EB322B" w14:textId="7DFEFBA2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244" w:type="dxa"/>
            <w:shd w:val="clear" w:color="000000" w:fill="E7E6E6"/>
            <w:vAlign w:val="center"/>
            <w:hideMark/>
          </w:tcPr>
          <w:p w14:paraId="43F08379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shd w:val="clear" w:color="000000" w:fill="E7E6E6"/>
            <w:vAlign w:val="center"/>
            <w:hideMark/>
          </w:tcPr>
          <w:p w14:paraId="7CF08980" w14:textId="3A08602D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shd w:val="clear" w:color="000000" w:fill="E7E6E6"/>
            <w:vAlign w:val="center"/>
            <w:hideMark/>
          </w:tcPr>
          <w:p w14:paraId="32D7FDD2" w14:textId="6E5E6E98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233120C1" w14:textId="37C5ABAA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shd w:val="clear" w:color="000000" w:fill="E7E6E6"/>
            <w:noWrap/>
            <w:vAlign w:val="center"/>
            <w:hideMark/>
          </w:tcPr>
          <w:p w14:paraId="2EC2602F" w14:textId="355768B5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990FC0" w14:paraId="0635A473" w14:textId="77777777" w:rsidTr="00744BC0">
        <w:trPr>
          <w:trHeight w:val="570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B99E3DF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2a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19C7B9C1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Cottonwood with ≥ 75% </w:t>
            </w:r>
            <w:r w:rsidRPr="00990FC0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E2DEF7E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Cottonwood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3496819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Cottonwood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2B712F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CW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7A1D358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4A2A69" w:rsidRPr="00990FC0" w14:paraId="1B4FFAF3" w14:textId="77777777" w:rsidTr="00744BC0">
        <w:trPr>
          <w:trHeight w:val="585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2F27C36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2b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3B93F271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Cottonwood with &lt; 75% </w:t>
            </w:r>
            <w:r w:rsidRPr="00990FC0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5C8B630" w14:textId="7777777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90F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Go to Mixed Forest Key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00220CF" w14:textId="7558BA52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B18915" w14:textId="67F0E26F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1E4A30C" w14:textId="1F2BA5E7" w:rsidR="004A2A69" w:rsidRPr="00990FC0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14:paraId="665AEBDB" w14:textId="77777777" w:rsidR="004A2A69" w:rsidRPr="00990FC0" w:rsidRDefault="004A2A69" w:rsidP="004A2A69">
      <w:pPr>
        <w:spacing w:after="0"/>
        <w:rPr>
          <w:rFonts w:cstheme="minorHAnsi"/>
          <w:i/>
          <w:iCs/>
        </w:rPr>
      </w:pPr>
    </w:p>
    <w:p w14:paraId="49171783" w14:textId="77777777" w:rsidR="004A2A69" w:rsidRPr="004D0DF5" w:rsidRDefault="004A2A69" w:rsidP="004A2A69">
      <w:pPr>
        <w:rPr>
          <w:rFonts w:cstheme="minorHAnsi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964"/>
        <w:gridCol w:w="1620"/>
        <w:gridCol w:w="1620"/>
        <w:gridCol w:w="1080"/>
        <w:gridCol w:w="1260"/>
      </w:tblGrid>
      <w:tr w:rsidR="004A2A69" w:rsidRPr="00BF4BC8" w14:paraId="4DC0B751" w14:textId="77777777" w:rsidTr="00744BC0">
        <w:trPr>
          <w:trHeight w:val="402"/>
          <w:jc w:val="center"/>
        </w:trPr>
        <w:tc>
          <w:tcPr>
            <w:tcW w:w="896" w:type="dxa"/>
            <w:shd w:val="clear" w:color="000000" w:fill="E7E6E6"/>
            <w:noWrap/>
            <w:vAlign w:val="center"/>
            <w:hideMark/>
          </w:tcPr>
          <w:p w14:paraId="15EDC619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Couplet</w:t>
            </w:r>
          </w:p>
        </w:tc>
        <w:tc>
          <w:tcPr>
            <w:tcW w:w="2964" w:type="dxa"/>
            <w:shd w:val="clear" w:color="000000" w:fill="E7E6E6"/>
            <w:vAlign w:val="center"/>
            <w:hideMark/>
          </w:tcPr>
          <w:p w14:paraId="5DD567D3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Mixed Forest Key</w:t>
            </w:r>
          </w:p>
        </w:tc>
        <w:tc>
          <w:tcPr>
            <w:tcW w:w="1620" w:type="dxa"/>
            <w:shd w:val="clear" w:color="000000" w:fill="E7E6E6"/>
            <w:vAlign w:val="center"/>
            <w:hideMark/>
          </w:tcPr>
          <w:p w14:paraId="5EFCF313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Dominance Type</w:t>
            </w:r>
          </w:p>
        </w:tc>
        <w:tc>
          <w:tcPr>
            <w:tcW w:w="1620" w:type="dxa"/>
            <w:shd w:val="clear" w:color="000000" w:fill="E7E6E6"/>
            <w:vAlign w:val="center"/>
            <w:hideMark/>
          </w:tcPr>
          <w:p w14:paraId="29060F8C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688F3A0F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 Symbol</w:t>
            </w:r>
          </w:p>
        </w:tc>
        <w:tc>
          <w:tcPr>
            <w:tcW w:w="1260" w:type="dxa"/>
            <w:shd w:val="clear" w:color="000000" w:fill="E7E6E6"/>
            <w:noWrap/>
            <w:vAlign w:val="center"/>
            <w:hideMark/>
          </w:tcPr>
          <w:p w14:paraId="59B3473C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# of plots 2018</w:t>
            </w:r>
          </w:p>
        </w:tc>
      </w:tr>
      <w:tr w:rsidR="004A2A69" w:rsidRPr="00BF4BC8" w14:paraId="0CF517ED" w14:textId="77777777" w:rsidTr="00744BC0">
        <w:trPr>
          <w:trHeight w:val="300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5457531" w14:textId="68883FC5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14:paraId="04ADBFAE" w14:textId="4E0352E4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89F38D3" w14:textId="708FC500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F53BC7D" w14:textId="5685787A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72C5FA" w14:textId="596BB450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021D4FF" w14:textId="13F152A8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BF4BC8" w14:paraId="55C63448" w14:textId="77777777" w:rsidTr="00744BC0">
        <w:trPr>
          <w:trHeight w:val="855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1A3980B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1a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14:paraId="6C0CB9A2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Cottonwood with ≥ 25%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 xml:space="preserve"> relative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and together with Sitka spruce comprise ≥75% 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 xml:space="preserve">relative 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canopy cover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F3A5B50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Sitka Spruce-Cottonwood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CCDCF6C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Sitka Spruce-Cottonwood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9B4763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SS-CW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60E830B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</w:tr>
      <w:tr w:rsidR="004A2A69" w:rsidRPr="00BF4BC8" w14:paraId="7398DDF1" w14:textId="77777777" w:rsidTr="00744BC0">
        <w:trPr>
          <w:trHeight w:val="855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FD08E97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1b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14:paraId="6EFB07ED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Cottonwood with &lt;25% 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and together with Sitka spruce comprise &lt; 75% 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F6BFD78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CE7AD7F" w14:textId="2BFCB898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F7D739" w14:textId="19427696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50889BC" w14:textId="25CC2A64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BF4BC8" w14:paraId="096D72E3" w14:textId="77777777" w:rsidTr="00744BC0">
        <w:trPr>
          <w:trHeight w:val="300"/>
          <w:jc w:val="center"/>
        </w:trPr>
        <w:tc>
          <w:tcPr>
            <w:tcW w:w="896" w:type="dxa"/>
            <w:shd w:val="clear" w:color="000000" w:fill="E7E6E6"/>
            <w:noWrap/>
            <w:vAlign w:val="center"/>
            <w:hideMark/>
          </w:tcPr>
          <w:p w14:paraId="4A874EED" w14:textId="24830643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  <w:shd w:val="clear" w:color="000000" w:fill="E7E6E6"/>
            <w:vAlign w:val="center"/>
            <w:hideMark/>
          </w:tcPr>
          <w:p w14:paraId="43EBB4FC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shd w:val="clear" w:color="000000" w:fill="E7E6E6"/>
            <w:vAlign w:val="center"/>
            <w:hideMark/>
          </w:tcPr>
          <w:p w14:paraId="448B0E0C" w14:textId="5193FA33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shd w:val="clear" w:color="000000" w:fill="E7E6E6"/>
            <w:vAlign w:val="center"/>
            <w:hideMark/>
          </w:tcPr>
          <w:p w14:paraId="25A6CEC8" w14:textId="34F269C5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0B57A221" w14:textId="52D06BFA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000000" w:fill="E7E6E6"/>
            <w:noWrap/>
            <w:vAlign w:val="center"/>
            <w:hideMark/>
          </w:tcPr>
          <w:p w14:paraId="3BF38CCD" w14:textId="20CB459E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BF4BC8" w14:paraId="3FB11E6E" w14:textId="77777777" w:rsidTr="00744BC0">
        <w:trPr>
          <w:trHeight w:val="855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6DD1CD8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2a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14:paraId="2BA87505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Red Alder with ≥25% 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and together with Sitka spruce comprise ≥ 75% 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89DFF87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Sitka Spruce- Red Alder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060DF84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Sitka Spruce- Red Alder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6BC65B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SS-RA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4A5977A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</w:t>
            </w:r>
          </w:p>
        </w:tc>
      </w:tr>
      <w:tr w:rsidR="004A2A69" w:rsidRPr="00BF4BC8" w14:paraId="064482A1" w14:textId="77777777" w:rsidTr="00744BC0">
        <w:trPr>
          <w:trHeight w:val="870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8E92626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2b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14:paraId="73693E84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Red Alder with&lt; 25% 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and together with Sitka spruce comprise &lt; 75% </w:t>
            </w:r>
            <w:r w:rsidRPr="00BF4BC8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7904F6E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Undetermined mix of Hardwood and Conifer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6440401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Undetermined mix of Hardwood and Conifer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5A7A6C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UHC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C1755D4" w14:textId="77777777" w:rsidR="004A2A69" w:rsidRPr="00BF4BC8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F4BC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</w:tr>
    </w:tbl>
    <w:p w14:paraId="0D542173" w14:textId="77777777" w:rsidR="004A2A69" w:rsidRPr="008E49B4" w:rsidRDefault="004A2A69" w:rsidP="004A2A69">
      <w:pPr>
        <w:rPr>
          <w:rFonts w:cstheme="minorHAnsi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316"/>
        <w:gridCol w:w="1207"/>
        <w:gridCol w:w="1151"/>
        <w:gridCol w:w="1080"/>
        <w:gridCol w:w="2700"/>
      </w:tblGrid>
      <w:tr w:rsidR="004A2A69" w:rsidRPr="006437CD" w14:paraId="2F33E2EA" w14:textId="77777777" w:rsidTr="00744BC0">
        <w:trPr>
          <w:trHeight w:val="402"/>
          <w:jc w:val="center"/>
        </w:trPr>
        <w:tc>
          <w:tcPr>
            <w:tcW w:w="896" w:type="dxa"/>
            <w:shd w:val="clear" w:color="000000" w:fill="E7E6E6"/>
            <w:noWrap/>
            <w:vAlign w:val="center"/>
            <w:hideMark/>
          </w:tcPr>
          <w:p w14:paraId="6F93ECC6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lastRenderedPageBreak/>
              <w:t>Couplet</w:t>
            </w:r>
          </w:p>
        </w:tc>
        <w:tc>
          <w:tcPr>
            <w:tcW w:w="2316" w:type="dxa"/>
            <w:shd w:val="clear" w:color="000000" w:fill="E7E6E6"/>
            <w:vAlign w:val="center"/>
            <w:hideMark/>
          </w:tcPr>
          <w:p w14:paraId="18EF6A62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Shrub Key</w:t>
            </w:r>
          </w:p>
        </w:tc>
        <w:tc>
          <w:tcPr>
            <w:tcW w:w="1207" w:type="dxa"/>
            <w:shd w:val="clear" w:color="000000" w:fill="E7E6E6"/>
            <w:noWrap/>
            <w:vAlign w:val="center"/>
            <w:hideMark/>
          </w:tcPr>
          <w:p w14:paraId="33D0EE38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Dominance Type</w:t>
            </w:r>
          </w:p>
        </w:tc>
        <w:tc>
          <w:tcPr>
            <w:tcW w:w="1151" w:type="dxa"/>
            <w:shd w:val="clear" w:color="000000" w:fill="E7E6E6"/>
            <w:noWrap/>
            <w:vAlign w:val="center"/>
            <w:hideMark/>
          </w:tcPr>
          <w:p w14:paraId="714FB228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</w:t>
            </w: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1972A43E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 Symbol</w:t>
            </w:r>
          </w:p>
        </w:tc>
        <w:tc>
          <w:tcPr>
            <w:tcW w:w="2700" w:type="dxa"/>
            <w:shd w:val="clear" w:color="000000" w:fill="E7E6E6"/>
            <w:vAlign w:val="center"/>
            <w:hideMark/>
          </w:tcPr>
          <w:p w14:paraId="5E138DCD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# of plots 2018/notes</w:t>
            </w:r>
          </w:p>
        </w:tc>
      </w:tr>
      <w:tr w:rsidR="004A2A69" w:rsidRPr="006437CD" w14:paraId="093751C0" w14:textId="77777777" w:rsidTr="00744BC0">
        <w:trPr>
          <w:trHeight w:val="1140"/>
          <w:jc w:val="center"/>
        </w:trPr>
        <w:tc>
          <w:tcPr>
            <w:tcW w:w="896" w:type="dxa"/>
            <w:shd w:val="clear" w:color="000000" w:fill="FFFFFF"/>
            <w:noWrap/>
            <w:vAlign w:val="center"/>
            <w:hideMark/>
          </w:tcPr>
          <w:p w14:paraId="749504FE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1a</w:t>
            </w:r>
          </w:p>
        </w:tc>
        <w:tc>
          <w:tcPr>
            <w:tcW w:w="2316" w:type="dxa"/>
            <w:shd w:val="clear" w:color="000000" w:fill="FFFFFF"/>
            <w:vAlign w:val="center"/>
            <w:hideMark/>
          </w:tcPr>
          <w:p w14:paraId="13ED8A40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of Sitka alder is ≥ 75%</w:t>
            </w:r>
          </w:p>
        </w:tc>
        <w:tc>
          <w:tcPr>
            <w:tcW w:w="1207" w:type="dxa"/>
            <w:shd w:val="clear" w:color="000000" w:fill="FFFFFF"/>
            <w:noWrap/>
            <w:vAlign w:val="center"/>
            <w:hideMark/>
          </w:tcPr>
          <w:p w14:paraId="1ADD6409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Alder Shrub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A537C3F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Alder Shrub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2FD24199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AS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02B53B7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8 plots-generally high elevation, slide tracks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etc</w:t>
            </w:r>
            <w:proofErr w:type="spellEnd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other l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oc</w:t>
            </w: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ations will be alder due to similarity to red alder</w:t>
            </w:r>
          </w:p>
        </w:tc>
      </w:tr>
      <w:tr w:rsidR="004A2A69" w:rsidRPr="006437CD" w14:paraId="1AB59F2D" w14:textId="77777777" w:rsidTr="00744BC0">
        <w:trPr>
          <w:trHeight w:val="315"/>
          <w:jc w:val="center"/>
        </w:trPr>
        <w:tc>
          <w:tcPr>
            <w:tcW w:w="896" w:type="dxa"/>
            <w:shd w:val="clear" w:color="000000" w:fill="FFFFFF"/>
            <w:noWrap/>
            <w:vAlign w:val="center"/>
            <w:hideMark/>
          </w:tcPr>
          <w:p w14:paraId="2A47E40E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1b</w:t>
            </w:r>
          </w:p>
        </w:tc>
        <w:tc>
          <w:tcPr>
            <w:tcW w:w="2316" w:type="dxa"/>
            <w:shd w:val="clear" w:color="000000" w:fill="FFFFFF"/>
            <w:vAlign w:val="center"/>
            <w:hideMark/>
          </w:tcPr>
          <w:p w14:paraId="2304B47F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of Sitka alder is &lt; 75%</w:t>
            </w:r>
          </w:p>
        </w:tc>
        <w:tc>
          <w:tcPr>
            <w:tcW w:w="1207" w:type="dxa"/>
            <w:shd w:val="clear" w:color="000000" w:fill="FFFFFF"/>
            <w:noWrap/>
            <w:vAlign w:val="center"/>
            <w:hideMark/>
          </w:tcPr>
          <w:p w14:paraId="068D2396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F9AF4DA" w14:textId="313A722D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26B0345A" w14:textId="2A3AEF88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0D51C90" w14:textId="3203FD50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A2A69" w:rsidRPr="006437CD" w14:paraId="698EF13B" w14:textId="77777777" w:rsidTr="00744BC0">
        <w:trPr>
          <w:trHeight w:val="315"/>
          <w:jc w:val="center"/>
        </w:trPr>
        <w:tc>
          <w:tcPr>
            <w:tcW w:w="896" w:type="dxa"/>
            <w:shd w:val="clear" w:color="000000" w:fill="E7E6E6"/>
            <w:noWrap/>
            <w:vAlign w:val="center"/>
            <w:hideMark/>
          </w:tcPr>
          <w:p w14:paraId="44A8332D" w14:textId="5E19B5C9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6" w:type="dxa"/>
            <w:shd w:val="clear" w:color="000000" w:fill="E7E6E6"/>
            <w:vAlign w:val="center"/>
            <w:hideMark/>
          </w:tcPr>
          <w:p w14:paraId="03C0172C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shd w:val="clear" w:color="000000" w:fill="E7E6E6"/>
            <w:noWrap/>
            <w:vAlign w:val="center"/>
            <w:hideMark/>
          </w:tcPr>
          <w:p w14:paraId="7B45B3F2" w14:textId="1B5FC40D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shd w:val="clear" w:color="000000" w:fill="E7E6E6"/>
            <w:noWrap/>
            <w:vAlign w:val="center"/>
            <w:hideMark/>
          </w:tcPr>
          <w:p w14:paraId="3C153743" w14:textId="43F0ED01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000000" w:fill="E7E6E6"/>
            <w:noWrap/>
            <w:vAlign w:val="center"/>
            <w:hideMark/>
          </w:tcPr>
          <w:p w14:paraId="14F5D1FF" w14:textId="0CC127BE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shd w:val="clear" w:color="000000" w:fill="E7E6E6"/>
            <w:vAlign w:val="center"/>
            <w:hideMark/>
          </w:tcPr>
          <w:p w14:paraId="3585D025" w14:textId="691E5879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A2A69" w:rsidRPr="006437CD" w14:paraId="65565439" w14:textId="77777777" w:rsidTr="00744BC0">
        <w:trPr>
          <w:trHeight w:val="1902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BC963D0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2a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6806F44F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of combined taller shrubs (≥1.5m) such as willow species, spirea, </w:t>
            </w:r>
            <w:proofErr w:type="spellStart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copperbush</w:t>
            </w:r>
            <w:proofErr w:type="spellEnd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, crabapple, Elderberry, sweet gale, Sitka alder, Salmonberry, Devils club, Blueberry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etc</w:t>
            </w:r>
            <w:proofErr w:type="spellEnd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is, dominant at a site compared to low shrubs, if present (ex: heather, crowberry, bog blueberry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etc</w:t>
            </w:r>
            <w:proofErr w:type="spellEnd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DD75B0E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Tall Shrubs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14:paraId="79CD188D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Tall Shrubs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33CBCA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1DD3E1" w14:textId="4C34F97D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35 plots (combined spirea, </w:t>
            </w:r>
            <w:proofErr w:type="spellStart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copperbush</w:t>
            </w:r>
            <w:proofErr w:type="spellEnd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tall shrubs-some locations may not have shrub at 1.5 m)-example Spirea, sweet gale can be shorter than 1.5 m.</w:t>
            </w:r>
          </w:p>
        </w:tc>
      </w:tr>
      <w:tr w:rsidR="004A2A69" w:rsidRPr="006437CD" w14:paraId="771BE6A2" w14:textId="77777777" w:rsidTr="00744BC0">
        <w:trPr>
          <w:trHeight w:val="1155"/>
          <w:jc w:val="center"/>
        </w:trPr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BEA07B7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2b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1C36DEBC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Relative</w:t>
            </w: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canopy cover of combined low and dwarf shrubs (&lt;1.5m) is domi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</w:t>
            </w: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ant at a site (ex: heather, crowberry, bog blueberry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etc</w:t>
            </w:r>
            <w:proofErr w:type="spellEnd"/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 compared to tall shrubs, if present.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00B9151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Low Shrubs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14:paraId="56D27AAF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Low Shrubs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B9767F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03D554" w14:textId="77777777" w:rsidR="004A2A69" w:rsidRPr="006437CD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37C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32 plots in dwarf, low ericaceous and Heather DT, much of this is in higher elevations, or some peatlands</w:t>
            </w:r>
          </w:p>
        </w:tc>
      </w:tr>
    </w:tbl>
    <w:p w14:paraId="046BBD02" w14:textId="77777777" w:rsidR="004A2A69" w:rsidRPr="00883B22" w:rsidRDefault="004A2A69" w:rsidP="004A2A69">
      <w:pPr>
        <w:spacing w:after="0"/>
        <w:rPr>
          <w:rFonts w:cstheme="minorHAnsi"/>
          <w:i/>
          <w:iCs/>
        </w:rPr>
      </w:pPr>
    </w:p>
    <w:p w14:paraId="343E956C" w14:textId="77777777" w:rsidR="004A2A69" w:rsidRPr="004D0DF5" w:rsidRDefault="004A2A69" w:rsidP="004A2A69">
      <w:pPr>
        <w:rPr>
          <w:rFonts w:cstheme="minorHAnsi"/>
        </w:rPr>
      </w:pPr>
    </w:p>
    <w:p w14:paraId="5FF723B4" w14:textId="77777777" w:rsidR="004A2A69" w:rsidRPr="008E49B4" w:rsidRDefault="004A2A69" w:rsidP="004A2A69">
      <w:pPr>
        <w:rPr>
          <w:rFonts w:cstheme="minorHAnsi"/>
        </w:rPr>
      </w:pPr>
    </w:p>
    <w:p w14:paraId="27219792" w14:textId="77777777" w:rsidR="004A2A69" w:rsidRPr="0006191D" w:rsidRDefault="004A2A69" w:rsidP="004A2A69">
      <w:pPr>
        <w:rPr>
          <w:rFonts w:cstheme="minorHAnsi"/>
        </w:rPr>
      </w:pPr>
    </w:p>
    <w:p w14:paraId="4EC07416" w14:textId="77777777" w:rsidR="004A2A69" w:rsidRPr="0006191D" w:rsidRDefault="004A2A69" w:rsidP="004A2A69">
      <w:pPr>
        <w:rPr>
          <w:rFonts w:cstheme="minorHAnsi"/>
        </w:rPr>
      </w:pPr>
    </w:p>
    <w:p w14:paraId="483244BC" w14:textId="77777777" w:rsidR="004A2A69" w:rsidRPr="0006191D" w:rsidRDefault="004A2A69" w:rsidP="004A2A69">
      <w:pPr>
        <w:rPr>
          <w:rFonts w:cstheme="minorHAnsi"/>
        </w:rPr>
      </w:pPr>
    </w:p>
    <w:p w14:paraId="4B83CAD8" w14:textId="77777777" w:rsidR="004A2A69" w:rsidRPr="0006191D" w:rsidRDefault="004A2A69" w:rsidP="004A2A69">
      <w:pPr>
        <w:rPr>
          <w:rFonts w:cstheme="minorHAnsi"/>
        </w:rPr>
      </w:pPr>
    </w:p>
    <w:p w14:paraId="1A09A58D" w14:textId="77777777" w:rsidR="004A2A69" w:rsidRPr="0006191D" w:rsidRDefault="004A2A69" w:rsidP="004A2A69">
      <w:pPr>
        <w:rPr>
          <w:rFonts w:cstheme="minorHAnsi"/>
        </w:rPr>
      </w:pPr>
    </w:p>
    <w:p w14:paraId="7F20C6F8" w14:textId="77777777" w:rsidR="004A2A69" w:rsidRPr="0006191D" w:rsidRDefault="004A2A69" w:rsidP="004A2A69">
      <w:pPr>
        <w:rPr>
          <w:rFonts w:cstheme="minorHAnsi"/>
        </w:rPr>
      </w:pPr>
    </w:p>
    <w:p w14:paraId="277E1381" w14:textId="77777777" w:rsidR="004A2A69" w:rsidRPr="0006191D" w:rsidRDefault="004A2A69" w:rsidP="004A2A69">
      <w:pPr>
        <w:rPr>
          <w:rFonts w:cstheme="minorHAnsi"/>
        </w:rPr>
      </w:pP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603"/>
        <w:gridCol w:w="1260"/>
        <w:gridCol w:w="1260"/>
        <w:gridCol w:w="1170"/>
        <w:gridCol w:w="2340"/>
      </w:tblGrid>
      <w:tr w:rsidR="004A2A69" w:rsidRPr="00930DA3" w14:paraId="0D3D74EC" w14:textId="77777777" w:rsidTr="00744BC0">
        <w:trPr>
          <w:trHeight w:val="585"/>
          <w:jc w:val="center"/>
        </w:trPr>
        <w:tc>
          <w:tcPr>
            <w:tcW w:w="897" w:type="dxa"/>
            <w:shd w:val="clear" w:color="000000" w:fill="E7E6E6"/>
            <w:noWrap/>
            <w:vAlign w:val="center"/>
            <w:hideMark/>
          </w:tcPr>
          <w:p w14:paraId="2ABEF5A2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lastRenderedPageBreak/>
              <w:t>Couplet</w:t>
            </w:r>
          </w:p>
        </w:tc>
        <w:tc>
          <w:tcPr>
            <w:tcW w:w="2603" w:type="dxa"/>
            <w:shd w:val="clear" w:color="000000" w:fill="E7E6E6"/>
            <w:vAlign w:val="center"/>
            <w:hideMark/>
          </w:tcPr>
          <w:p w14:paraId="7AE22369" w14:textId="275420F4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Herbaceous Key</w:t>
            </w:r>
          </w:p>
        </w:tc>
        <w:tc>
          <w:tcPr>
            <w:tcW w:w="1260" w:type="dxa"/>
            <w:shd w:val="clear" w:color="000000" w:fill="E7E6E6"/>
            <w:vAlign w:val="center"/>
            <w:hideMark/>
          </w:tcPr>
          <w:p w14:paraId="507571FF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Domi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n</w:t>
            </w: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ance Type</w:t>
            </w:r>
          </w:p>
        </w:tc>
        <w:tc>
          <w:tcPr>
            <w:tcW w:w="1260" w:type="dxa"/>
            <w:shd w:val="clear" w:color="000000" w:fill="E7E6E6"/>
            <w:vAlign w:val="center"/>
            <w:hideMark/>
          </w:tcPr>
          <w:p w14:paraId="44A33168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</w:t>
            </w:r>
          </w:p>
        </w:tc>
        <w:tc>
          <w:tcPr>
            <w:tcW w:w="1170" w:type="dxa"/>
            <w:shd w:val="clear" w:color="000000" w:fill="E7E6E6"/>
            <w:vAlign w:val="center"/>
            <w:hideMark/>
          </w:tcPr>
          <w:p w14:paraId="43AB4097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Map Unit Symbol</w:t>
            </w:r>
          </w:p>
        </w:tc>
        <w:tc>
          <w:tcPr>
            <w:tcW w:w="2340" w:type="dxa"/>
            <w:shd w:val="clear" w:color="000000" w:fill="E7E6E6"/>
            <w:vAlign w:val="center"/>
            <w:hideMark/>
          </w:tcPr>
          <w:p w14:paraId="1BD9CA95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# of plots 2018/notes</w:t>
            </w:r>
          </w:p>
        </w:tc>
      </w:tr>
      <w:tr w:rsidR="004A2A69" w:rsidRPr="00930DA3" w14:paraId="4D9BFBB6" w14:textId="77777777" w:rsidTr="00744BC0">
        <w:trPr>
          <w:trHeight w:val="5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9BB3D75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1a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6F315C10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Site is aquatic with permanent standing water present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3A5B23F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6B3EC09" w14:textId="618103BC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72E43F" w14:textId="2D792DFF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45AB0999" w14:textId="1CE65C4A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930DA3" w14:paraId="0C2C9328" w14:textId="77777777" w:rsidTr="00744BC0">
        <w:trPr>
          <w:trHeight w:val="5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41459BE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1b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4BC3CC0D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Site is wet to mesic, with little or no standing water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177FCA5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240B53" w14:textId="4C6F55C1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D350A2" w14:textId="6639A2E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DC93CC1" w14:textId="4C2B774C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930DA3" w14:paraId="599D582F" w14:textId="77777777" w:rsidTr="00744BC0">
        <w:trPr>
          <w:trHeight w:val="315"/>
          <w:jc w:val="center"/>
        </w:trPr>
        <w:tc>
          <w:tcPr>
            <w:tcW w:w="897" w:type="dxa"/>
            <w:shd w:val="clear" w:color="000000" w:fill="E7E6E6"/>
            <w:noWrap/>
            <w:vAlign w:val="center"/>
            <w:hideMark/>
          </w:tcPr>
          <w:p w14:paraId="25160D3F" w14:textId="3A8C705B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603" w:type="dxa"/>
            <w:shd w:val="clear" w:color="000000" w:fill="E7E6E6"/>
            <w:vAlign w:val="center"/>
            <w:hideMark/>
          </w:tcPr>
          <w:p w14:paraId="5A06E7B4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000000" w:fill="E7E6E6"/>
            <w:vAlign w:val="center"/>
            <w:hideMark/>
          </w:tcPr>
          <w:p w14:paraId="55F3B89C" w14:textId="38BF336B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000000" w:fill="E7E6E6"/>
            <w:vAlign w:val="center"/>
            <w:hideMark/>
          </w:tcPr>
          <w:p w14:paraId="01FE18CF" w14:textId="1A2459FA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shd w:val="clear" w:color="000000" w:fill="E7E6E6"/>
            <w:vAlign w:val="center"/>
            <w:hideMark/>
          </w:tcPr>
          <w:p w14:paraId="0C0A7267" w14:textId="7F9C97F2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shd w:val="clear" w:color="000000" w:fill="E7E6E6"/>
            <w:vAlign w:val="center"/>
            <w:hideMark/>
          </w:tcPr>
          <w:p w14:paraId="07D38B8D" w14:textId="357E0DBC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930DA3" w14:paraId="0C83A23A" w14:textId="77777777" w:rsidTr="00744BC0">
        <w:trPr>
          <w:trHeight w:val="142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44CE7F6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2a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156B6FA2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Site is permanent freshwater ponds or lakes with various emergent grasses and forbs (roots below the water such as </w:t>
            </w:r>
            <w:proofErr w:type="spellStart"/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Potemogeton</w:t>
            </w:r>
            <w:proofErr w:type="spellEnd"/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</w:t>
            </w:r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Nuphar</w:t>
            </w:r>
            <w:proofErr w:type="spellEnd"/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) ≥ 25% </w:t>
            </w:r>
            <w:r w:rsidRPr="00930DA3">
              <w:rPr>
                <w:rFonts w:ascii="Calibri" w:eastAsia="Times New Roman" w:hAnsi="Calibri" w:cs="Calibri"/>
                <w:i/>
                <w:iCs/>
                <w:color w:val="FF0000"/>
                <w:sz w:val="21"/>
                <w:szCs w:val="21"/>
              </w:rPr>
              <w:t>absolute</w:t>
            </w: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cover (the rest is water)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A65438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Aquatic Herbaceous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8F9D54A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Aquatic Herbaceous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7855C4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AHB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4A7F30E5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31 total plots in marshes, ponds, lake edges with </w:t>
            </w:r>
            <w:proofErr w:type="spellStart"/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Nuphar</w:t>
            </w:r>
            <w:proofErr w:type="spellEnd"/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Potemageton</w:t>
            </w:r>
            <w:proofErr w:type="spellEnd"/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vegetation, but this type can be mapped spectrally photo </w:t>
            </w:r>
            <w:proofErr w:type="spellStart"/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interp</w:t>
            </w:r>
            <w:proofErr w:type="spellEnd"/>
          </w:p>
        </w:tc>
      </w:tr>
      <w:tr w:rsidR="004A2A69" w:rsidRPr="00930DA3" w14:paraId="6F79F56B" w14:textId="77777777" w:rsidTr="00744BC0">
        <w:trPr>
          <w:trHeight w:val="31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0F3472A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2b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7FFDE3A8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Site is not the above.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A139639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C76DBA6" w14:textId="3FE1B1A6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D5726E" w14:textId="50690AAA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6593BB01" w14:textId="68CB0208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930DA3" w14:paraId="1A839617" w14:textId="77777777" w:rsidTr="00744BC0">
        <w:trPr>
          <w:trHeight w:val="315"/>
          <w:jc w:val="center"/>
        </w:trPr>
        <w:tc>
          <w:tcPr>
            <w:tcW w:w="897" w:type="dxa"/>
            <w:shd w:val="clear" w:color="000000" w:fill="E7E6E6"/>
            <w:noWrap/>
            <w:vAlign w:val="center"/>
            <w:hideMark/>
          </w:tcPr>
          <w:p w14:paraId="34C904D4" w14:textId="4F19EAC9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603" w:type="dxa"/>
            <w:shd w:val="clear" w:color="000000" w:fill="E7E6E6"/>
            <w:vAlign w:val="center"/>
            <w:hideMark/>
          </w:tcPr>
          <w:p w14:paraId="1ECB15B4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000000" w:fill="E7E6E6"/>
            <w:vAlign w:val="center"/>
            <w:hideMark/>
          </w:tcPr>
          <w:p w14:paraId="700C6850" w14:textId="305100DB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000000" w:fill="E7E6E6"/>
            <w:vAlign w:val="center"/>
            <w:hideMark/>
          </w:tcPr>
          <w:p w14:paraId="270AC1AC" w14:textId="2E9A9140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shd w:val="clear" w:color="000000" w:fill="E7E6E6"/>
            <w:vAlign w:val="center"/>
            <w:hideMark/>
          </w:tcPr>
          <w:p w14:paraId="62B499A8" w14:textId="7AC306DC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shd w:val="clear" w:color="000000" w:fill="E7E6E6"/>
            <w:vAlign w:val="center"/>
            <w:hideMark/>
          </w:tcPr>
          <w:p w14:paraId="4577A862" w14:textId="26EB121F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4A2A69" w:rsidRPr="00930DA3" w14:paraId="1FE8DBE9" w14:textId="77777777" w:rsidTr="00744BC0">
        <w:trPr>
          <w:trHeight w:val="171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521A5B4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3a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36DED0D2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Site contains areas of higher water table and seasonal standing water, various non-emergent grasses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</w:t>
            </w: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forbs (such as buckbean, </w:t>
            </w:r>
            <w:proofErr w:type="spellStart"/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cottongrass</w:t>
            </w:r>
            <w:proofErr w:type="spellEnd"/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Sitka other sedges) dominate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CFDC762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Wet Herbaceous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D6ABD4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Wet Herbaceous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C8ACAD2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WHB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139395DC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Found on wet alpine or muskegs (buck bean often in standing water areas), upper beach meadows, including tidal influenced areas below and above mean high tide with vegetation.</w:t>
            </w:r>
          </w:p>
        </w:tc>
      </w:tr>
      <w:tr w:rsidR="004A2A69" w:rsidRPr="00930DA3" w14:paraId="0D158F10" w14:textId="77777777" w:rsidTr="00744BC0">
        <w:trPr>
          <w:trHeight w:val="115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3493BF5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3b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6B8DF653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Site </w:t>
            </w:r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does not</w:t>
            </w: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contain higher water table or seasonal standing water, various non-emergent grasses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</w:t>
            </w: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forbs (may see </w:t>
            </w:r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Calamagrostis</w:t>
            </w: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lupine, yarrow, paintbrush)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dominate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02FC391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Mesic Herbaceous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36E5D6F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Wet Herbaceous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C0310F0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WHB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CADA811" w14:textId="77777777" w:rsidR="004A2A69" w:rsidRPr="00930DA3" w:rsidRDefault="004A2A69" w:rsidP="00744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930DA3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</w:rPr>
              <w:t>Calamagrostis</w:t>
            </w:r>
            <w:r w:rsidRPr="00930DA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may be present, some well drained sandy upper beach areas or shallow soils, alpine herbaceous meadows</w:t>
            </w:r>
          </w:p>
        </w:tc>
      </w:tr>
    </w:tbl>
    <w:p w14:paraId="0F1E0818" w14:textId="77777777" w:rsidR="004A2A69" w:rsidRPr="0006191D" w:rsidRDefault="004A2A69" w:rsidP="004A2A69">
      <w:pPr>
        <w:rPr>
          <w:rFonts w:cstheme="minorHAnsi"/>
        </w:rPr>
      </w:pPr>
    </w:p>
    <w:p w14:paraId="0E294BCD" w14:textId="77777777" w:rsidR="004A2A69" w:rsidRPr="004D0DF5" w:rsidRDefault="004A2A69" w:rsidP="004A2A69">
      <w:pPr>
        <w:rPr>
          <w:rFonts w:cstheme="minorHAnsi"/>
        </w:rPr>
      </w:pPr>
    </w:p>
    <w:p w14:paraId="614DAB19" w14:textId="77777777" w:rsidR="004A2A69" w:rsidRPr="008E49B4" w:rsidRDefault="004A2A69" w:rsidP="004A2A69">
      <w:pPr>
        <w:rPr>
          <w:rFonts w:cstheme="minorHAnsi"/>
        </w:rPr>
      </w:pPr>
    </w:p>
    <w:p w14:paraId="7BA9BDB0" w14:textId="77777777" w:rsidR="004A2A69" w:rsidRPr="0006191D" w:rsidRDefault="004A2A69" w:rsidP="004A2A69">
      <w:pPr>
        <w:rPr>
          <w:rFonts w:cstheme="minorHAnsi"/>
        </w:rPr>
      </w:pPr>
    </w:p>
    <w:p w14:paraId="39DF0073" w14:textId="77777777" w:rsidR="004A2A69" w:rsidRDefault="004A2A69" w:rsidP="004A2A69">
      <w:pPr>
        <w:tabs>
          <w:tab w:val="left" w:pos="1710"/>
        </w:tabs>
      </w:pPr>
    </w:p>
    <w:p w14:paraId="3B210AD4" w14:textId="77777777" w:rsidR="004A2A69" w:rsidRDefault="004A2A69" w:rsidP="004A2A69">
      <w:pPr>
        <w:tabs>
          <w:tab w:val="left" w:pos="1710"/>
        </w:tabs>
      </w:pPr>
    </w:p>
    <w:p w14:paraId="2E4EE280" w14:textId="77777777" w:rsidR="00AC4389" w:rsidRDefault="00AC4389"/>
    <w:sectPr w:rsidR="00AC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9"/>
    <w:rsid w:val="002660E8"/>
    <w:rsid w:val="004A2A69"/>
    <w:rsid w:val="005D4B50"/>
    <w:rsid w:val="00744BC0"/>
    <w:rsid w:val="00AA5B79"/>
    <w:rsid w:val="00AC4389"/>
    <w:rsid w:val="00DA23DD"/>
    <w:rsid w:val="00E7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FA22"/>
  <w15:chartTrackingRefBased/>
  <w15:docId w15:val="{C60D4EE7-11BC-4591-9BC1-C81BCB9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69"/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E76E11"/>
    <w:pPr>
      <w:keepNext w:val="0"/>
      <w:keepLines w:val="0"/>
      <w:spacing w:before="0" w:line="240" w:lineRule="auto"/>
      <w:contextualSpacing/>
      <w:jc w:val="center"/>
      <w:outlineLvl w:val="0"/>
    </w:pPr>
    <w:rPr>
      <w:color w:val="3E762A"/>
      <w:spacing w:val="-10"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6E11"/>
    <w:rPr>
      <w:rFonts w:asciiTheme="majorHAnsi" w:eastAsiaTheme="majorEastAsia" w:hAnsiTheme="majorHAnsi" w:cstheme="majorBidi"/>
      <w:color w:val="3E762A"/>
      <w:spacing w:val="-10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Vicky -FS</dc:creator>
  <cp:keywords/>
  <dc:description/>
  <cp:lastModifiedBy>Bellante, Gabriel -FS</cp:lastModifiedBy>
  <cp:revision>4</cp:revision>
  <dcterms:created xsi:type="dcterms:W3CDTF">2021-05-19T18:34:00Z</dcterms:created>
  <dcterms:modified xsi:type="dcterms:W3CDTF">2021-05-19T19:22:00Z</dcterms:modified>
</cp:coreProperties>
</file>