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557A" w14:textId="2CFE446C" w:rsidR="00483AC1" w:rsidRDefault="00E77D11" w:rsidP="00647303">
      <w:pPr>
        <w:pStyle w:val="Heading2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E8C05FA" wp14:editId="3A80A08F">
            <wp:simplePos x="0" y="0"/>
            <wp:positionH relativeFrom="margin">
              <wp:posOffset>190500</wp:posOffset>
            </wp:positionH>
            <wp:positionV relativeFrom="paragraph">
              <wp:posOffset>-360680</wp:posOffset>
            </wp:positionV>
            <wp:extent cx="6471920" cy="3970655"/>
            <wp:effectExtent l="0" t="0" r="508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hutes Collaborative Forest 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DDDAC" wp14:editId="780395F2">
                <wp:simplePos x="0" y="0"/>
                <wp:positionH relativeFrom="column">
                  <wp:posOffset>-337820</wp:posOffset>
                </wp:positionH>
                <wp:positionV relativeFrom="paragraph">
                  <wp:posOffset>19050</wp:posOffset>
                </wp:positionV>
                <wp:extent cx="2933065" cy="842010"/>
                <wp:effectExtent l="0" t="0" r="635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842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452BA" w14:textId="28C6550D" w:rsidR="00483AC1" w:rsidRPr="004A3982" w:rsidRDefault="00483AC1" w:rsidP="00483AC1">
                            <w:pPr>
                              <w:pStyle w:val="Heading1"/>
                            </w:pPr>
                            <w:bookmarkStart w:id="0" w:name="_GoBack"/>
                            <w:r w:rsidRPr="004A3982">
                              <w:t>CFLRP 10 Year Results and Lessons Learned Summary Series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DD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6.6pt;margin-top:1.5pt;width:230.95pt;height:6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" fillcolor="#f2f2f2 [3052]" stroked="f" strokeweight=".5pt">
                <v:textbox>
                  <w:txbxContent>
                    <w:p w14:paraId="304452BA" w14:textId="28C6550D" w:rsidR="00483AC1" w:rsidRPr="004A3982" w:rsidRDefault="00483AC1" w:rsidP="00483AC1">
                      <w:pPr>
                        <w:pStyle w:val="Heading1"/>
                      </w:pPr>
                      <w:bookmarkStart w:id="1" w:name="_GoBack"/>
                      <w:r w:rsidRPr="004A3982">
                        <w:t>CFLRP 10 Year Results and Lessons Learned Summary Series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9521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AC3773" wp14:editId="7487ADA2">
                <wp:simplePos x="0" y="0"/>
                <wp:positionH relativeFrom="column">
                  <wp:posOffset>4057650</wp:posOffset>
                </wp:positionH>
                <wp:positionV relativeFrom="paragraph">
                  <wp:posOffset>3333750</wp:posOffset>
                </wp:positionV>
                <wp:extent cx="2571750" cy="238125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C5A97" w14:textId="554517D0" w:rsidR="00C9521D" w:rsidRPr="00C9521D" w:rsidRDefault="00C9521D" w:rsidP="00C9521D">
                            <w:pPr>
                              <w:jc w:val="righ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9521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Deschutes Collaborative Forest Project,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C3773" id="_x0000_s1027" type="#_x0000_t202" style="position:absolute;left:0;text-align:left;margin-left:319.5pt;margin-top:262.5pt;width:202.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" filled="f" stroked="f">
                <v:textbox>
                  <w:txbxContent>
                    <w:p w14:paraId="27FC5A97" w14:textId="554517D0" w:rsidR="00C9521D" w:rsidRPr="00C9521D" w:rsidRDefault="00C9521D" w:rsidP="00C9521D">
                      <w:pPr>
                        <w:jc w:val="right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C9521D">
                        <w:rPr>
                          <w:color w:val="FFFFFF" w:themeColor="background1"/>
                          <w:sz w:val="18"/>
                          <w:szCs w:val="18"/>
                        </w:rPr>
                        <w:t>Deschutes Collaborative Forest Project, 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A7732F" w14:textId="7EBEC876" w:rsidR="00483AC1" w:rsidRDefault="00483AC1" w:rsidP="00647303">
      <w:pPr>
        <w:pStyle w:val="Heading2"/>
        <w:jc w:val="center"/>
        <w:rPr>
          <w:b/>
          <w:bCs/>
        </w:rPr>
      </w:pPr>
    </w:p>
    <w:p w14:paraId="490F3CC4" w14:textId="303BF5D0" w:rsidR="00483AC1" w:rsidRDefault="00483AC1" w:rsidP="00647303">
      <w:pPr>
        <w:pStyle w:val="Heading2"/>
        <w:jc w:val="center"/>
        <w:rPr>
          <w:b/>
          <w:bCs/>
        </w:rPr>
      </w:pPr>
    </w:p>
    <w:p w14:paraId="1D934EE1" w14:textId="55B4C6F9" w:rsidR="00483AC1" w:rsidRDefault="00483AC1" w:rsidP="00647303">
      <w:pPr>
        <w:pStyle w:val="Heading2"/>
        <w:jc w:val="center"/>
        <w:rPr>
          <w:b/>
          <w:bCs/>
        </w:rPr>
      </w:pPr>
    </w:p>
    <w:p w14:paraId="0AE6E316" w14:textId="0785063B" w:rsidR="00483AC1" w:rsidRDefault="00483AC1" w:rsidP="00647303">
      <w:pPr>
        <w:pStyle w:val="Heading2"/>
        <w:jc w:val="center"/>
        <w:rPr>
          <w:b/>
          <w:bCs/>
        </w:rPr>
      </w:pPr>
    </w:p>
    <w:p w14:paraId="31E128AE" w14:textId="7B4A7E0C" w:rsidR="00483AC1" w:rsidRDefault="00483AC1" w:rsidP="00647303">
      <w:pPr>
        <w:pStyle w:val="Heading2"/>
        <w:jc w:val="center"/>
        <w:rPr>
          <w:b/>
          <w:bCs/>
        </w:rPr>
      </w:pPr>
    </w:p>
    <w:p w14:paraId="7AC58FFF" w14:textId="72EDA96A" w:rsidR="00483AC1" w:rsidRDefault="00483AC1" w:rsidP="00647303">
      <w:pPr>
        <w:pStyle w:val="Heading2"/>
        <w:jc w:val="center"/>
        <w:rPr>
          <w:b/>
          <w:bCs/>
        </w:rPr>
      </w:pPr>
    </w:p>
    <w:p w14:paraId="0650FC4E" w14:textId="50E01FBA" w:rsidR="00483AC1" w:rsidRDefault="00483AC1" w:rsidP="00647303">
      <w:pPr>
        <w:pStyle w:val="Heading2"/>
        <w:jc w:val="center"/>
        <w:rPr>
          <w:b/>
          <w:bCs/>
        </w:rPr>
      </w:pPr>
    </w:p>
    <w:p w14:paraId="5752D99A" w14:textId="7FBA7076" w:rsidR="00483AC1" w:rsidRDefault="00483AC1" w:rsidP="00647303">
      <w:pPr>
        <w:pStyle w:val="Heading2"/>
        <w:jc w:val="center"/>
        <w:rPr>
          <w:b/>
          <w:bCs/>
        </w:rPr>
      </w:pPr>
    </w:p>
    <w:p w14:paraId="6EC11E04" w14:textId="760BC32E" w:rsidR="00483AC1" w:rsidRDefault="00483AC1" w:rsidP="00647303">
      <w:pPr>
        <w:pStyle w:val="Heading2"/>
        <w:jc w:val="center"/>
        <w:rPr>
          <w:b/>
          <w:bCs/>
        </w:rPr>
      </w:pPr>
    </w:p>
    <w:p w14:paraId="5B79C578" w14:textId="621DBCBE" w:rsidR="00483AC1" w:rsidRDefault="00E77D11" w:rsidP="00647303">
      <w:pPr>
        <w:pStyle w:val="Heading2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FC0E1" wp14:editId="74D705BA">
                <wp:simplePos x="0" y="0"/>
                <wp:positionH relativeFrom="margin">
                  <wp:posOffset>0</wp:posOffset>
                </wp:positionH>
                <wp:positionV relativeFrom="paragraph">
                  <wp:posOffset>130810</wp:posOffset>
                </wp:positionV>
                <wp:extent cx="4083685" cy="1048385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685" cy="10483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5126A" w14:textId="77777777" w:rsidR="00483AC1" w:rsidRPr="004A3982" w:rsidRDefault="00483AC1" w:rsidP="00483AC1">
                            <w:pPr>
                              <w:pStyle w:val="Subtitle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4A3982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The Collaborative Approach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FC0E1" id="Text Box 6" o:spid="_x0000_s1028" type="#_x0000_t202" style="position:absolute;left:0;text-align:left;margin-left:0;margin-top:10.3pt;width:321.55pt;height:82.5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" fillcolor="#323e4f [2415]" stroked="f" strokeweight=".5pt">
                <v:textbox>
                  <w:txbxContent>
                    <w:p w14:paraId="1885126A" w14:textId="77777777" w:rsidR="00483AC1" w:rsidRPr="004A3982" w:rsidRDefault="00483AC1" w:rsidP="00483AC1">
                      <w:pPr>
                        <w:pStyle w:val="Subtitle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4A3982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The Collaborative Approach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AFF746" w14:textId="2955F827" w:rsidR="00483AC1" w:rsidRDefault="00483AC1" w:rsidP="00647303">
      <w:pPr>
        <w:pStyle w:val="Heading2"/>
        <w:jc w:val="center"/>
        <w:rPr>
          <w:b/>
          <w:bCs/>
        </w:rPr>
      </w:pPr>
    </w:p>
    <w:p w14:paraId="2DAC8200" w14:textId="7CF167B2" w:rsidR="00483AC1" w:rsidRDefault="00483AC1" w:rsidP="00647303">
      <w:pPr>
        <w:pStyle w:val="Heading2"/>
        <w:jc w:val="center"/>
        <w:rPr>
          <w:b/>
          <w:bCs/>
        </w:rPr>
      </w:pPr>
    </w:p>
    <w:p w14:paraId="0B8B8706" w14:textId="47494177" w:rsidR="00483AC1" w:rsidRDefault="00483AC1" w:rsidP="00647303">
      <w:pPr>
        <w:pStyle w:val="Heading2"/>
        <w:jc w:val="center"/>
        <w:rPr>
          <w:b/>
          <w:bCs/>
        </w:rPr>
      </w:pPr>
    </w:p>
    <w:p w14:paraId="42B0B3EC" w14:textId="54E8D693" w:rsidR="00483AC1" w:rsidRDefault="00483AC1" w:rsidP="00647303">
      <w:pPr>
        <w:pStyle w:val="Heading2"/>
        <w:jc w:val="center"/>
        <w:rPr>
          <w:b/>
          <w:bCs/>
        </w:rPr>
      </w:pPr>
    </w:p>
    <w:p w14:paraId="738B0ADF" w14:textId="541EC82F" w:rsidR="00647303" w:rsidRPr="00483AC1" w:rsidRDefault="00647303" w:rsidP="00A651A1">
      <w:pPr>
        <w:rPr>
          <w:i/>
          <w:iCs/>
          <w:sz w:val="26"/>
          <w:szCs w:val="26"/>
        </w:rPr>
      </w:pPr>
      <w:r w:rsidRPr="00483AC1">
        <w:rPr>
          <w:i/>
          <w:iCs/>
          <w:sz w:val="26"/>
          <w:szCs w:val="26"/>
        </w:rPr>
        <w:t xml:space="preserve">The purpose </w:t>
      </w:r>
      <w:r w:rsidR="00483AC1" w:rsidRPr="00483AC1">
        <w:rPr>
          <w:i/>
          <w:iCs/>
          <w:sz w:val="26"/>
          <w:szCs w:val="26"/>
        </w:rPr>
        <w:t>of</w:t>
      </w:r>
      <w:r w:rsidRPr="00483AC1">
        <w:rPr>
          <w:i/>
          <w:iCs/>
          <w:sz w:val="26"/>
          <w:szCs w:val="26"/>
        </w:rPr>
        <w:t xml:space="preserve"> this document is to summarize the results and lessons learned from the “Collaborative Approach” theme in the</w:t>
      </w:r>
      <w:r w:rsidR="00483AC1">
        <w:rPr>
          <w:i/>
          <w:iCs/>
          <w:sz w:val="26"/>
          <w:szCs w:val="26"/>
        </w:rPr>
        <w:t xml:space="preserve"> </w:t>
      </w:r>
      <w:r w:rsidR="00B82135">
        <w:rPr>
          <w:i/>
          <w:iCs/>
          <w:sz w:val="26"/>
          <w:szCs w:val="26"/>
        </w:rPr>
        <w:t>comprehensive</w:t>
      </w:r>
      <w:r w:rsidRPr="00483AC1">
        <w:rPr>
          <w:i/>
          <w:iCs/>
          <w:sz w:val="26"/>
          <w:szCs w:val="26"/>
        </w:rPr>
        <w:t xml:space="preserve"> </w:t>
      </w:r>
      <w:hyperlink r:id="rId9" w:history="1">
        <w:r w:rsidRPr="00483AC1">
          <w:rPr>
            <w:rStyle w:val="Hyperlink"/>
            <w:i/>
            <w:iCs/>
            <w:sz w:val="26"/>
            <w:szCs w:val="26"/>
          </w:rPr>
          <w:t>Collaborative Forest Landscape Restoration Program (CFLRP) 10 Years of Results and Lessons Learned</w:t>
        </w:r>
      </w:hyperlink>
      <w:r w:rsidRPr="00483AC1">
        <w:rPr>
          <w:i/>
          <w:iCs/>
          <w:sz w:val="26"/>
          <w:szCs w:val="26"/>
        </w:rPr>
        <w:t xml:space="preserve"> </w:t>
      </w:r>
      <w:r w:rsidR="00483AC1">
        <w:rPr>
          <w:i/>
          <w:iCs/>
          <w:sz w:val="26"/>
          <w:szCs w:val="26"/>
        </w:rPr>
        <w:t>report.</w:t>
      </w:r>
      <w:r w:rsidRPr="00483AC1">
        <w:rPr>
          <w:i/>
          <w:iCs/>
          <w:sz w:val="26"/>
          <w:szCs w:val="26"/>
        </w:rPr>
        <w:t xml:space="preserve"> </w:t>
      </w:r>
      <w:r w:rsidR="00B82135">
        <w:rPr>
          <w:i/>
          <w:iCs/>
          <w:sz w:val="26"/>
          <w:szCs w:val="26"/>
        </w:rPr>
        <w:t xml:space="preserve">Please review the report for details and resources. </w:t>
      </w:r>
    </w:p>
    <w:p w14:paraId="0B10B586" w14:textId="77777777" w:rsidR="00483AC1" w:rsidRDefault="00483AC1" w:rsidP="00647303">
      <w:pPr>
        <w:pStyle w:val="Heading2"/>
        <w:rPr>
          <w:b/>
          <w:bCs/>
        </w:rPr>
      </w:pPr>
    </w:p>
    <w:p w14:paraId="3525E1EC" w14:textId="142FDBD2" w:rsidR="00647303" w:rsidRPr="00647303" w:rsidRDefault="00647303" w:rsidP="00647303">
      <w:pPr>
        <w:pStyle w:val="Heading2"/>
        <w:rPr>
          <w:b/>
          <w:bCs/>
        </w:rPr>
      </w:pPr>
      <w:r w:rsidRPr="00647303">
        <w:rPr>
          <w:b/>
          <w:bCs/>
        </w:rPr>
        <w:t>Overview</w:t>
      </w:r>
    </w:p>
    <w:p w14:paraId="3BBDD138" w14:textId="7BF933E7" w:rsidR="00917605" w:rsidRPr="00647303" w:rsidRDefault="004E12A4" w:rsidP="00A651A1">
      <w:pPr>
        <w:rPr>
          <w:sz w:val="24"/>
          <w:szCs w:val="24"/>
        </w:rPr>
      </w:pPr>
      <w:r w:rsidRPr="00647303">
        <w:rPr>
          <w:sz w:val="24"/>
          <w:szCs w:val="24"/>
        </w:rPr>
        <w:t>The CFLRP’s requirement for collaboration creates opportunities for participants to influence decision-making and affect outcomes. Over 420 unique organizations and 560 individuals were represented across the 23 CFLRP collaboratives.</w:t>
      </w:r>
      <w:r w:rsidRPr="00647303">
        <w:rPr>
          <w:b/>
          <w:bCs/>
          <w:sz w:val="24"/>
          <w:szCs w:val="24"/>
        </w:rPr>
        <w:t xml:space="preserve"> </w:t>
      </w:r>
      <w:r w:rsidRPr="00647303">
        <w:rPr>
          <w:sz w:val="24"/>
          <w:szCs w:val="24"/>
        </w:rPr>
        <w:t>Participants include businesses, non-profit organizations, local, State and Tribal governments, private landowners, and federal agencies. Fostering relationships through collaboration is an investment in communities that pays dividends within and beyond CFLRP.</w:t>
      </w:r>
    </w:p>
    <w:p w14:paraId="64D4F06B" w14:textId="77777777" w:rsidR="00483AC1" w:rsidRDefault="00483AC1" w:rsidP="00647303">
      <w:pPr>
        <w:pStyle w:val="Heading2"/>
        <w:rPr>
          <w:b/>
          <w:bCs/>
        </w:rPr>
      </w:pPr>
    </w:p>
    <w:p w14:paraId="77258524" w14:textId="402CDAB6" w:rsidR="0002246D" w:rsidRPr="00647303" w:rsidRDefault="00E22B90" w:rsidP="00647303">
      <w:pPr>
        <w:pStyle w:val="Heading2"/>
        <w:rPr>
          <w:b/>
          <w:bCs/>
        </w:rPr>
      </w:pPr>
      <w:r>
        <w:rPr>
          <w:b/>
          <w:bCs/>
        </w:rPr>
        <w:t xml:space="preserve">Key Results and </w:t>
      </w:r>
      <w:r w:rsidR="00A630BB" w:rsidRPr="00647303">
        <w:rPr>
          <w:b/>
          <w:bCs/>
        </w:rPr>
        <w:t xml:space="preserve">Lessons Learned      </w:t>
      </w:r>
    </w:p>
    <w:p w14:paraId="7571B0F5" w14:textId="77777777" w:rsidR="00213E07" w:rsidRPr="00647303" w:rsidRDefault="007179D5" w:rsidP="00A651A1">
      <w:pPr>
        <w:pStyle w:val="Heading2"/>
        <w:spacing w:line="240" w:lineRule="auto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bookmarkStart w:id="2" w:name="_Project_Accomplishments"/>
      <w:bookmarkStart w:id="3" w:name="_Toc48661659"/>
      <w:bookmarkStart w:id="4" w:name="_Toc48740483"/>
      <w:bookmarkStart w:id="5" w:name="_Toc48740400"/>
      <w:bookmarkStart w:id="6" w:name="_Hlk40181430"/>
      <w:bookmarkEnd w:id="2"/>
      <w:r w:rsidRPr="00647303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The Benefits of Collaboration</w:t>
      </w:r>
      <w:bookmarkEnd w:id="3"/>
      <w:bookmarkEnd w:id="4"/>
      <w:r w:rsidRPr="00647303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: </w:t>
      </w:r>
    </w:p>
    <w:p w14:paraId="259EAE8D" w14:textId="6C565246" w:rsidR="007179D5" w:rsidRPr="00647303" w:rsidRDefault="007179D5" w:rsidP="00A651A1">
      <w:pPr>
        <w:pStyle w:val="Heading2"/>
        <w:spacing w:line="24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647303"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</w:rPr>
        <w:t>Collaboration creates opportunities to generate more and multiple benefits and increase the impact of our shared work for shared benefits.</w:t>
      </w:r>
      <w:r w:rsidRPr="00647303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</w:p>
    <w:p w14:paraId="539B2153" w14:textId="34B7C5F7" w:rsidR="00213E07" w:rsidRPr="00917605" w:rsidRDefault="007179D5" w:rsidP="00917605">
      <w:pPr>
        <w:pStyle w:val="ListParagraph"/>
        <w:numPr>
          <w:ilvl w:val="0"/>
          <w:numId w:val="21"/>
        </w:numPr>
        <w:spacing w:after="160"/>
        <w:rPr>
          <w:rFonts w:cstheme="minorHAnsi"/>
          <w:sz w:val="24"/>
          <w:szCs w:val="24"/>
        </w:rPr>
      </w:pPr>
      <w:r w:rsidRPr="00917605">
        <w:rPr>
          <w:rFonts w:cstheme="minorHAnsi"/>
          <w:b/>
          <w:bCs/>
          <w:i/>
          <w:iCs/>
          <w:sz w:val="24"/>
          <w:szCs w:val="24"/>
        </w:rPr>
        <w:t>Expanded innovation and outcomes</w:t>
      </w:r>
      <w:r w:rsidRPr="00917605">
        <w:rPr>
          <w:rFonts w:cstheme="minorHAnsi"/>
          <w:i/>
          <w:iCs/>
          <w:sz w:val="24"/>
          <w:szCs w:val="24"/>
        </w:rPr>
        <w:t>.</w:t>
      </w:r>
      <w:r w:rsidRPr="00917605">
        <w:rPr>
          <w:rFonts w:cstheme="minorHAnsi"/>
          <w:sz w:val="24"/>
          <w:szCs w:val="24"/>
        </w:rPr>
        <w:t xml:space="preserve"> </w:t>
      </w:r>
      <w:r w:rsidR="004E12A4">
        <w:rPr>
          <w:rFonts w:cstheme="minorHAnsi"/>
          <w:sz w:val="24"/>
          <w:szCs w:val="24"/>
        </w:rPr>
        <w:t>R</w:t>
      </w:r>
      <w:r w:rsidRPr="00917605">
        <w:rPr>
          <w:rFonts w:cstheme="minorHAnsi"/>
          <w:sz w:val="24"/>
          <w:szCs w:val="24"/>
        </w:rPr>
        <w:t xml:space="preserve">elationships forged through collaboratives provide critical capacity in terms of acres treated, process efficiencies, scientific expertise, traditional knowledge, community engagement, and securing additional funding. </w:t>
      </w:r>
      <w:r w:rsidR="00BC7279" w:rsidRPr="00917605">
        <w:rPr>
          <w:rFonts w:cstheme="minorHAnsi"/>
          <w:sz w:val="24"/>
          <w:szCs w:val="24"/>
        </w:rPr>
        <w:t>A survey of Forest Service staff and partners found 77% agreed collaborative participation improves implementation and 81% said more restoration is happening</w:t>
      </w:r>
      <w:r w:rsidR="00041F67">
        <w:rPr>
          <w:rFonts w:cstheme="minorHAnsi"/>
          <w:sz w:val="24"/>
          <w:szCs w:val="24"/>
        </w:rPr>
        <w:t xml:space="preserve"> due to collaboration.</w:t>
      </w:r>
      <w:r w:rsidR="00041F67">
        <w:rPr>
          <w:rStyle w:val="FootnoteReference"/>
          <w:rFonts w:cstheme="minorHAnsi"/>
          <w:sz w:val="24"/>
          <w:szCs w:val="24"/>
        </w:rPr>
        <w:footnoteReference w:id="1"/>
      </w:r>
    </w:p>
    <w:p w14:paraId="015A5FA6" w14:textId="13217C44" w:rsidR="007179D5" w:rsidRPr="00917605" w:rsidRDefault="007179D5" w:rsidP="00917605">
      <w:pPr>
        <w:pStyle w:val="ListParagraph"/>
        <w:numPr>
          <w:ilvl w:val="0"/>
          <w:numId w:val="21"/>
        </w:numPr>
        <w:spacing w:after="160"/>
        <w:rPr>
          <w:sz w:val="24"/>
          <w:szCs w:val="24"/>
        </w:rPr>
      </w:pPr>
      <w:r w:rsidRPr="00917605">
        <w:rPr>
          <w:rFonts w:cstheme="minorHAnsi"/>
          <w:b/>
          <w:bCs/>
          <w:i/>
          <w:iCs/>
          <w:sz w:val="24"/>
          <w:szCs w:val="24"/>
        </w:rPr>
        <w:t>Enhanced trust.</w:t>
      </w:r>
      <w:r w:rsidRPr="00917605">
        <w:rPr>
          <w:rFonts w:cstheme="minorHAnsi"/>
          <w:b/>
          <w:bCs/>
          <w:sz w:val="24"/>
          <w:szCs w:val="24"/>
        </w:rPr>
        <w:t xml:space="preserve"> </w:t>
      </w:r>
      <w:r w:rsidRPr="00917605">
        <w:rPr>
          <w:rFonts w:cstheme="minorHAnsi"/>
          <w:sz w:val="24"/>
          <w:szCs w:val="24"/>
        </w:rPr>
        <w:t>Trust,</w:t>
      </w:r>
      <w:r w:rsidRPr="00917605">
        <w:rPr>
          <w:rFonts w:cstheme="minorHAnsi"/>
          <w:b/>
          <w:bCs/>
          <w:sz w:val="24"/>
          <w:szCs w:val="24"/>
        </w:rPr>
        <w:t xml:space="preserve"> </w:t>
      </w:r>
      <w:r w:rsidRPr="00917605">
        <w:rPr>
          <w:rFonts w:cstheme="minorHAnsi"/>
          <w:sz w:val="24"/>
          <w:szCs w:val="24"/>
        </w:rPr>
        <w:t>between partners and between partners and the Forest Service, enables shared ownership of risk, increases support for restoration activities, and enables innovation.</w:t>
      </w:r>
      <w:r w:rsidRPr="00917605">
        <w:rPr>
          <w:rFonts w:cstheme="minorHAnsi"/>
          <w:b/>
          <w:bCs/>
          <w:sz w:val="24"/>
          <w:szCs w:val="24"/>
        </w:rPr>
        <w:t xml:space="preserve"> </w:t>
      </w:r>
      <w:r w:rsidRPr="00917605">
        <w:rPr>
          <w:rFonts w:cstheme="minorHAnsi"/>
          <w:bCs/>
          <w:sz w:val="24"/>
          <w:szCs w:val="24"/>
        </w:rPr>
        <w:t xml:space="preserve">Trust is difficult to earn and easy to lose. </w:t>
      </w:r>
      <w:r w:rsidR="00BC7279" w:rsidRPr="003A5F6D">
        <w:rPr>
          <w:rFonts w:cstheme="minorHAnsi"/>
          <w:bCs/>
          <w:sz w:val="24"/>
          <w:szCs w:val="24"/>
        </w:rPr>
        <w:t>70% of CFLRP projects cited relationship building as the most important community benefit.</w:t>
      </w:r>
      <w:r w:rsidR="00BC7279" w:rsidRPr="003A5F6D">
        <w:rPr>
          <w:rStyle w:val="FootnoteReference"/>
          <w:rFonts w:cstheme="minorHAnsi"/>
          <w:bCs/>
          <w:sz w:val="24"/>
          <w:szCs w:val="24"/>
        </w:rPr>
        <w:footnoteReference w:id="2"/>
      </w:r>
    </w:p>
    <w:p w14:paraId="321FE656" w14:textId="2D838C3B" w:rsidR="00213E07" w:rsidRPr="00917605" w:rsidRDefault="007179D5" w:rsidP="00917605">
      <w:pPr>
        <w:pStyle w:val="ListParagraph"/>
        <w:numPr>
          <w:ilvl w:val="0"/>
          <w:numId w:val="21"/>
        </w:numPr>
        <w:spacing w:after="160"/>
        <w:rPr>
          <w:sz w:val="24"/>
          <w:szCs w:val="24"/>
        </w:rPr>
      </w:pPr>
      <w:r w:rsidRPr="00917605">
        <w:rPr>
          <w:rFonts w:cstheme="minorHAnsi"/>
          <w:b/>
          <w:bCs/>
          <w:i/>
          <w:iCs/>
          <w:sz w:val="24"/>
          <w:szCs w:val="24"/>
        </w:rPr>
        <w:lastRenderedPageBreak/>
        <w:t>Decreased conflict over management decisions</w:t>
      </w:r>
      <w:r w:rsidRPr="00917605">
        <w:rPr>
          <w:rFonts w:cstheme="minorHAnsi"/>
          <w:sz w:val="24"/>
          <w:szCs w:val="24"/>
        </w:rPr>
        <w:t>.</w:t>
      </w:r>
      <w:r w:rsidR="00041F67" w:rsidRPr="00041F67">
        <w:rPr>
          <w:rFonts w:cstheme="minorHAnsi"/>
          <w:sz w:val="24"/>
          <w:szCs w:val="24"/>
        </w:rPr>
        <w:t xml:space="preserve"> </w:t>
      </w:r>
      <w:r w:rsidR="00041F67" w:rsidRPr="00917605">
        <w:rPr>
          <w:rFonts w:cstheme="minorHAnsi"/>
          <w:sz w:val="24"/>
          <w:szCs w:val="24"/>
        </w:rPr>
        <w:t>A survey of Forest Service staff and partners</w:t>
      </w:r>
      <w:r w:rsidR="00041F67">
        <w:rPr>
          <w:rFonts w:cstheme="minorHAnsi"/>
          <w:sz w:val="24"/>
          <w:szCs w:val="24"/>
        </w:rPr>
        <w:t xml:space="preserve"> found that</w:t>
      </w:r>
      <w:r w:rsidRPr="00917605">
        <w:rPr>
          <w:rFonts w:cstheme="minorHAnsi"/>
          <w:sz w:val="24"/>
          <w:szCs w:val="24"/>
        </w:rPr>
        <w:t xml:space="preserve"> </w:t>
      </w:r>
      <w:r w:rsidR="00BC7279" w:rsidRPr="003A5F6D">
        <w:rPr>
          <w:rFonts w:ascii="Calibri" w:hAnsi="Calibri" w:cs="Calibri"/>
          <w:color w:val="000000"/>
          <w:sz w:val="24"/>
          <w:szCs w:val="24"/>
        </w:rPr>
        <w:t>60% report</w:t>
      </w:r>
      <w:r w:rsidR="00041F67">
        <w:rPr>
          <w:rFonts w:ascii="Calibri" w:hAnsi="Calibri" w:cs="Calibri"/>
          <w:color w:val="000000"/>
          <w:sz w:val="24"/>
          <w:szCs w:val="24"/>
        </w:rPr>
        <w:t>ed</w:t>
      </w:r>
      <w:r w:rsidR="00BC7279" w:rsidRPr="003A5F6D">
        <w:rPr>
          <w:rFonts w:ascii="Calibri" w:hAnsi="Calibri" w:cs="Calibri"/>
          <w:color w:val="000000"/>
          <w:sz w:val="24"/>
          <w:szCs w:val="24"/>
        </w:rPr>
        <w:t xml:space="preserve"> decreased conflict.</w:t>
      </w:r>
      <w:r w:rsidR="00041F67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"/>
      </w:r>
      <w:r w:rsidR="00BC7279" w:rsidRPr="003A5F6D">
        <w:rPr>
          <w:rFonts w:ascii="Calibri" w:hAnsi="Calibri" w:cs="Calibri"/>
          <w:color w:val="000000"/>
          <w:sz w:val="24"/>
          <w:szCs w:val="24"/>
        </w:rPr>
        <w:t xml:space="preserve"> In a 2018 survey of Forest Service staff, 61% of respondents said they decreased litigation.</w:t>
      </w:r>
      <w:r w:rsidR="00041F67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4"/>
      </w:r>
      <w:r w:rsidR="00BC7279" w:rsidRPr="00CF3ED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C7279">
        <w:rPr>
          <w:sz w:val="24"/>
          <w:szCs w:val="24"/>
        </w:rPr>
        <w:t>C</w:t>
      </w:r>
      <w:r w:rsidRPr="00917605">
        <w:rPr>
          <w:sz w:val="24"/>
          <w:szCs w:val="24"/>
        </w:rPr>
        <w:t>ollaboration does not necessarily prevent litigation, especially suits brought by entities operating outside of the collaborative.</w:t>
      </w:r>
      <w:bookmarkStart w:id="7" w:name="_Hlk48226754"/>
    </w:p>
    <w:p w14:paraId="0CD42CC6" w14:textId="2A8D3EAA" w:rsidR="00213E07" w:rsidRPr="00917605" w:rsidRDefault="007179D5" w:rsidP="00917605">
      <w:pPr>
        <w:pStyle w:val="ListParagraph"/>
        <w:numPr>
          <w:ilvl w:val="0"/>
          <w:numId w:val="21"/>
        </w:numPr>
        <w:spacing w:after="160"/>
        <w:rPr>
          <w:rFonts w:cstheme="minorHAnsi"/>
          <w:sz w:val="24"/>
          <w:szCs w:val="24"/>
        </w:rPr>
      </w:pPr>
      <w:r w:rsidRPr="00917605">
        <w:rPr>
          <w:rFonts w:cstheme="minorHAnsi"/>
          <w:b/>
          <w:bCs/>
          <w:i/>
          <w:iCs/>
          <w:sz w:val="24"/>
          <w:szCs w:val="24"/>
        </w:rPr>
        <w:t>Better decision-making</w:t>
      </w:r>
      <w:r w:rsidRPr="00917605">
        <w:rPr>
          <w:rFonts w:cstheme="minorHAnsi"/>
          <w:i/>
          <w:iCs/>
          <w:sz w:val="24"/>
          <w:szCs w:val="24"/>
        </w:rPr>
        <w:t>.</w:t>
      </w:r>
      <w:r w:rsidRPr="00917605">
        <w:rPr>
          <w:rFonts w:cstheme="minorHAnsi"/>
          <w:sz w:val="24"/>
          <w:szCs w:val="24"/>
        </w:rPr>
        <w:t xml:space="preserve"> </w:t>
      </w:r>
      <w:r w:rsidR="00041F67">
        <w:rPr>
          <w:rFonts w:cstheme="minorHAnsi"/>
          <w:sz w:val="24"/>
          <w:szCs w:val="24"/>
        </w:rPr>
        <w:t xml:space="preserve">Respondent’s to the survey of Forest Service staff and partners showed that </w:t>
      </w:r>
      <w:r w:rsidR="00BC7279" w:rsidRPr="00CF3ED9">
        <w:rPr>
          <w:rFonts w:ascii="Calibri" w:hAnsi="Calibri" w:cs="Calibri"/>
          <w:color w:val="000000"/>
          <w:sz w:val="24"/>
          <w:szCs w:val="24"/>
        </w:rPr>
        <w:t xml:space="preserve">82% </w:t>
      </w:r>
      <w:r w:rsidR="00041F67">
        <w:rPr>
          <w:rFonts w:ascii="Calibri" w:hAnsi="Calibri" w:cs="Calibri"/>
          <w:color w:val="000000"/>
          <w:sz w:val="24"/>
          <w:szCs w:val="24"/>
        </w:rPr>
        <w:t xml:space="preserve">agreed </w:t>
      </w:r>
      <w:r w:rsidR="00BC7279" w:rsidRPr="00CF3ED9">
        <w:rPr>
          <w:rFonts w:ascii="Calibri" w:hAnsi="Calibri" w:cs="Calibri"/>
          <w:color w:val="000000"/>
          <w:sz w:val="24"/>
          <w:szCs w:val="24"/>
        </w:rPr>
        <w:t xml:space="preserve">that collaboration </w:t>
      </w:r>
      <w:r w:rsidR="00BC7279" w:rsidRPr="00931D6C">
        <w:rPr>
          <w:rFonts w:ascii="Calibri" w:hAnsi="Calibri" w:cs="Calibri"/>
          <w:color w:val="000000"/>
          <w:sz w:val="24"/>
          <w:szCs w:val="24"/>
        </w:rPr>
        <w:t>improves Agency decision-making</w:t>
      </w:r>
      <w:r w:rsidR="00041F67">
        <w:rPr>
          <w:rFonts w:ascii="Calibri" w:hAnsi="Calibri" w:cs="Calibri"/>
          <w:color w:val="000000"/>
          <w:sz w:val="24"/>
          <w:szCs w:val="24"/>
        </w:rPr>
        <w:t>, including</w:t>
      </w:r>
      <w:r w:rsidR="00BC7279" w:rsidRPr="003A5F6D">
        <w:rPr>
          <w:rFonts w:cstheme="minorHAnsi"/>
          <w:sz w:val="24"/>
          <w:szCs w:val="24"/>
        </w:rPr>
        <w:t xml:space="preserve"> improved NEPA processes and outcomes, changes to contracting and </w:t>
      </w:r>
      <w:r w:rsidR="00BC7279">
        <w:rPr>
          <w:rFonts w:cstheme="minorHAnsi"/>
          <w:sz w:val="24"/>
          <w:szCs w:val="24"/>
        </w:rPr>
        <w:t>prescription development</w:t>
      </w:r>
      <w:r w:rsidR="00BC7279" w:rsidRPr="003A5F6D">
        <w:rPr>
          <w:rFonts w:cstheme="minorHAnsi"/>
          <w:sz w:val="24"/>
          <w:szCs w:val="24"/>
        </w:rPr>
        <w:t>, inclusion of more perspectives</w:t>
      </w:r>
      <w:r w:rsidR="00BC7279">
        <w:rPr>
          <w:rFonts w:cstheme="minorHAnsi"/>
          <w:sz w:val="24"/>
          <w:szCs w:val="24"/>
        </w:rPr>
        <w:t xml:space="preserve">, and </w:t>
      </w:r>
      <w:r w:rsidR="00BC7279" w:rsidRPr="003A5F6D">
        <w:rPr>
          <w:rFonts w:cstheme="minorHAnsi"/>
          <w:sz w:val="24"/>
          <w:szCs w:val="24"/>
        </w:rPr>
        <w:t>leverag</w:t>
      </w:r>
      <w:r w:rsidR="00BC7279">
        <w:rPr>
          <w:rFonts w:cstheme="minorHAnsi"/>
          <w:sz w:val="24"/>
          <w:szCs w:val="24"/>
        </w:rPr>
        <w:t>ing</w:t>
      </w:r>
      <w:r w:rsidR="00BC7279" w:rsidRPr="003A5F6D">
        <w:rPr>
          <w:rFonts w:cstheme="minorHAnsi"/>
          <w:sz w:val="24"/>
          <w:szCs w:val="24"/>
        </w:rPr>
        <w:t xml:space="preserve"> knowledge through multi-party monitoring.</w:t>
      </w:r>
      <w:r w:rsidR="00041F67">
        <w:rPr>
          <w:rStyle w:val="FootnoteReference"/>
          <w:rFonts w:cstheme="minorHAnsi"/>
          <w:sz w:val="24"/>
          <w:szCs w:val="24"/>
        </w:rPr>
        <w:footnoteReference w:id="5"/>
      </w:r>
      <w:r w:rsidR="00BC7279" w:rsidRPr="003A5F6D">
        <w:rPr>
          <w:rFonts w:cstheme="minorHAnsi"/>
          <w:sz w:val="24"/>
          <w:szCs w:val="24"/>
        </w:rPr>
        <w:t xml:space="preserve"> Some note</w:t>
      </w:r>
      <w:r w:rsidR="00041F67">
        <w:rPr>
          <w:rFonts w:cstheme="minorHAnsi"/>
          <w:sz w:val="24"/>
          <w:szCs w:val="24"/>
        </w:rPr>
        <w:t>d</w:t>
      </w:r>
      <w:r w:rsidR="00BC7279" w:rsidRPr="003A5F6D">
        <w:rPr>
          <w:rFonts w:cstheme="minorHAnsi"/>
          <w:sz w:val="24"/>
          <w:szCs w:val="24"/>
        </w:rPr>
        <w:t xml:space="preserve"> that “better” didn’t mean faster, but rather more </w:t>
      </w:r>
      <w:r w:rsidR="00BC7279">
        <w:rPr>
          <w:rFonts w:cstheme="minorHAnsi"/>
          <w:sz w:val="24"/>
          <w:szCs w:val="24"/>
        </w:rPr>
        <w:t xml:space="preserve">effective long-term </w:t>
      </w:r>
      <w:r w:rsidR="00BC7279" w:rsidRPr="003A5F6D">
        <w:rPr>
          <w:rFonts w:cstheme="minorHAnsi"/>
          <w:sz w:val="24"/>
          <w:szCs w:val="24"/>
        </w:rPr>
        <w:t>outcomes.</w:t>
      </w:r>
      <w:r w:rsidR="00BC7279">
        <w:rPr>
          <w:rFonts w:cstheme="minorHAnsi"/>
        </w:rPr>
        <w:t xml:space="preserve"> </w:t>
      </w:r>
    </w:p>
    <w:p w14:paraId="42C6639C" w14:textId="77777777" w:rsidR="00BC7279" w:rsidRPr="003A5F6D" w:rsidRDefault="00BC7279" w:rsidP="00BC7279">
      <w:pPr>
        <w:pStyle w:val="Heading2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bookmarkStart w:id="8" w:name="_What_role_does"/>
      <w:bookmarkStart w:id="9" w:name="_Toc48661661"/>
      <w:bookmarkStart w:id="10" w:name="_Toc48740485"/>
      <w:bookmarkStart w:id="11" w:name="_Toc48661660"/>
      <w:bookmarkStart w:id="12" w:name="_Toc48740484"/>
      <w:bookmarkEnd w:id="7"/>
      <w:bookmarkEnd w:id="8"/>
      <w:r w:rsidRPr="003A5F6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What </w:t>
      </w:r>
      <w:bookmarkEnd w:id="9"/>
      <w:bookmarkEnd w:id="10"/>
      <w:r w:rsidRPr="003A5F6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are some of the key best practices for dealing with common challenges? </w:t>
      </w:r>
    </w:p>
    <w:p w14:paraId="4FE8384B" w14:textId="332B411D" w:rsidR="00BC7279" w:rsidRPr="00647303" w:rsidRDefault="00BC7279" w:rsidP="00647303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47303">
        <w:rPr>
          <w:rFonts w:cstheme="minorHAnsi"/>
          <w:sz w:val="24"/>
          <w:szCs w:val="24"/>
        </w:rPr>
        <w:t xml:space="preserve">Over 80% of survey respondents said a </w:t>
      </w:r>
      <w:r w:rsidRPr="00647303">
        <w:rPr>
          <w:rFonts w:cstheme="minorHAnsi"/>
          <w:b/>
          <w:bCs/>
          <w:sz w:val="24"/>
          <w:szCs w:val="24"/>
        </w:rPr>
        <w:t>history of collaboration</w:t>
      </w:r>
      <w:r w:rsidRPr="00647303">
        <w:rPr>
          <w:rFonts w:cstheme="minorHAnsi"/>
          <w:sz w:val="24"/>
          <w:szCs w:val="24"/>
        </w:rPr>
        <w:t xml:space="preserve"> and an </w:t>
      </w:r>
      <w:r w:rsidRPr="00647303">
        <w:rPr>
          <w:rFonts w:cstheme="minorHAnsi"/>
          <w:b/>
          <w:bCs/>
          <w:sz w:val="24"/>
          <w:szCs w:val="24"/>
        </w:rPr>
        <w:t xml:space="preserve">effective </w:t>
      </w:r>
      <w:r w:rsidR="00DE26D3" w:rsidRPr="00647303">
        <w:rPr>
          <w:rFonts w:cstheme="minorHAnsi"/>
          <w:b/>
          <w:bCs/>
          <w:sz w:val="24"/>
          <w:szCs w:val="24"/>
        </w:rPr>
        <w:t>c</w:t>
      </w:r>
      <w:r w:rsidRPr="00647303">
        <w:rPr>
          <w:rFonts w:cstheme="minorHAnsi"/>
          <w:b/>
          <w:bCs/>
          <w:sz w:val="24"/>
          <w:szCs w:val="24"/>
        </w:rPr>
        <w:t>ommunication strategy</w:t>
      </w:r>
      <w:r w:rsidRPr="00647303">
        <w:rPr>
          <w:rFonts w:cstheme="minorHAnsi"/>
          <w:sz w:val="24"/>
          <w:szCs w:val="24"/>
        </w:rPr>
        <w:t xml:space="preserve"> with stakeholders were </w:t>
      </w:r>
      <w:r w:rsidR="004E12A4" w:rsidRPr="00647303">
        <w:rPr>
          <w:rFonts w:cstheme="minorHAnsi"/>
          <w:sz w:val="24"/>
          <w:szCs w:val="24"/>
        </w:rPr>
        <w:t xml:space="preserve">success </w:t>
      </w:r>
      <w:r w:rsidRPr="00647303">
        <w:rPr>
          <w:rFonts w:cstheme="minorHAnsi"/>
          <w:sz w:val="24"/>
          <w:szCs w:val="24"/>
        </w:rPr>
        <w:t>factors.</w:t>
      </w:r>
      <w:r w:rsidR="00041F67">
        <w:rPr>
          <w:rStyle w:val="FootnoteReference"/>
          <w:rFonts w:cstheme="minorHAnsi"/>
          <w:sz w:val="24"/>
          <w:szCs w:val="24"/>
        </w:rPr>
        <w:footnoteReference w:id="6"/>
      </w:r>
      <w:r w:rsidRPr="00647303">
        <w:rPr>
          <w:rFonts w:cstheme="minorHAnsi"/>
          <w:sz w:val="24"/>
          <w:szCs w:val="24"/>
        </w:rPr>
        <w:t xml:space="preserve"> </w:t>
      </w:r>
    </w:p>
    <w:p w14:paraId="1AC46486" w14:textId="40B0A20D" w:rsidR="00BC7279" w:rsidRDefault="00483AC1" w:rsidP="00647303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272E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B3CCB" wp14:editId="010906A3">
                <wp:simplePos x="0" y="0"/>
                <wp:positionH relativeFrom="margin">
                  <wp:align>left</wp:align>
                </wp:positionH>
                <wp:positionV relativeFrom="margin">
                  <wp:posOffset>3188335</wp:posOffset>
                </wp:positionV>
                <wp:extent cx="6839585" cy="5106035"/>
                <wp:effectExtent l="0" t="0" r="18415" b="18415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51060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DB208" w14:textId="77777777" w:rsidR="00483AC1" w:rsidRPr="00041F67" w:rsidRDefault="00483AC1" w:rsidP="00483AC1">
                            <w:pPr>
                              <w:pStyle w:val="Heading3"/>
                              <w:rPr>
                                <w:rStyle w:val="Heading3Char"/>
                                <w:b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bookmarkStart w:id="13" w:name="_Toc48661663"/>
                            <w:bookmarkStart w:id="14" w:name="_Toc48740487"/>
                            <w:r w:rsidRPr="00941CDF">
                              <w:rPr>
                                <w:rStyle w:val="Heading3Char"/>
                                <w:color w:val="2F5496" w:themeColor="accent1" w:themeShade="BF"/>
                              </w:rPr>
                              <w:t>Best Practice</w:t>
                            </w:r>
                            <w:r>
                              <w:rPr>
                                <w:rStyle w:val="Heading3Char"/>
                                <w:color w:val="2F5496" w:themeColor="accent1" w:themeShade="BF"/>
                              </w:rPr>
                              <w:t xml:space="preserve"> Summary </w:t>
                            </w:r>
                            <w:r w:rsidRPr="00041F67">
                              <w:rPr>
                                <w:rStyle w:val="Heading3Char"/>
                                <w:i/>
                                <w:iCs/>
                                <w:color w:val="2F5496" w:themeColor="accent1" w:themeShade="BF"/>
                              </w:rPr>
                              <w:t xml:space="preserve">(for additional resources, see </w:t>
                            </w:r>
                            <w:hyperlink r:id="rId10" w:history="1">
                              <w:r w:rsidRPr="00041F67">
                                <w:rPr>
                                  <w:rStyle w:val="Hyperlink"/>
                                  <w:i/>
                                  <w:iCs/>
                                </w:rPr>
                                <w:t>full CFLRP results and lessons learned</w:t>
                              </w:r>
                              <w:bookmarkEnd w:id="13"/>
                              <w:bookmarkEnd w:id="14"/>
                            </w:hyperlink>
                            <w:r>
                              <w:rPr>
                                <w:rStyle w:val="Hyperlink"/>
                                <w:i/>
                                <w:iCs/>
                              </w:rPr>
                              <w:t xml:space="preserve"> report</w:t>
                            </w:r>
                            <w:r w:rsidRPr="00041F67">
                              <w:rPr>
                                <w:rStyle w:val="Heading3Char"/>
                                <w:i/>
                                <w:iCs/>
                                <w:color w:val="2F5496" w:themeColor="accent1" w:themeShade="BF"/>
                              </w:rPr>
                              <w:t>)</w:t>
                            </w:r>
                          </w:p>
                          <w:p w14:paraId="3483C129" w14:textId="77777777" w:rsidR="00483AC1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02672C">
                              <w:rPr>
                                <w:b/>
                              </w:rPr>
                              <w:t>Invest in building trust and working relationships</w:t>
                            </w:r>
                            <w:r w:rsidRPr="003C6D04">
                              <w:t xml:space="preserve"> with partners and community members</w:t>
                            </w:r>
                            <w:r>
                              <w:t>,</w:t>
                            </w:r>
                            <w:r w:rsidRPr="003C6D04">
                              <w:t xml:space="preserve"> and recognize it takes time to do so.</w:t>
                            </w:r>
                          </w:p>
                          <w:p w14:paraId="3D961D15" w14:textId="77777777" w:rsidR="00483AC1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02672C">
                              <w:rPr>
                                <w:b/>
                              </w:rPr>
                              <w:t>Start with what you have in common</w:t>
                            </w:r>
                            <w:r w:rsidRPr="003C6D04">
                              <w:t>–the shared vision for desired objectives for the landscape</w:t>
                            </w:r>
                            <w:r>
                              <w:t>.</w:t>
                            </w:r>
                          </w:p>
                          <w:p w14:paraId="42E68AA4" w14:textId="77777777" w:rsidR="00483AC1" w:rsidRPr="003C6D04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02672C">
                              <w:rPr>
                                <w:b/>
                              </w:rPr>
                              <w:t xml:space="preserve">Develop expectations with the group for how it will function </w:t>
                            </w:r>
                            <w:r w:rsidRPr="003C6D04">
                              <w:t>at the beginning, including ground rules, a charter, and organizational structure</w:t>
                            </w:r>
                            <w:r>
                              <w:t xml:space="preserve"> </w:t>
                            </w:r>
                            <w:r w:rsidRPr="003C6D04">
                              <w:t>and revisit to adapt</w:t>
                            </w:r>
                            <w:r>
                              <w:t>,</w:t>
                            </w:r>
                            <w:r w:rsidRPr="003C6D04">
                              <w:t xml:space="preserve"> as needed. Every group will be different, but proactively discussing the structure and processes of the group upfront can support success.</w:t>
                            </w:r>
                          </w:p>
                          <w:p w14:paraId="21619184" w14:textId="77777777" w:rsidR="00483AC1" w:rsidRPr="003C6D04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02672C">
                              <w:t>Consider</w:t>
                            </w:r>
                            <w:r>
                              <w:rPr>
                                <w:b/>
                              </w:rPr>
                              <w:t xml:space="preserve"> establishing and documenting the “zones of agreement,” </w:t>
                            </w:r>
                            <w:r w:rsidRPr="0002672C">
                              <w:t>or consensus, where partners and stakeholders agree on a shared vision for rest</w:t>
                            </w:r>
                            <w:r>
                              <w:t xml:space="preserve">oration outcomes. </w:t>
                            </w:r>
                          </w:p>
                          <w:p w14:paraId="371849EC" w14:textId="77777777" w:rsidR="00483AC1" w:rsidRPr="003C6D04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Pr="0002672C">
                              <w:rPr>
                                <w:b/>
                              </w:rPr>
                              <w:t>ubcommittees</w:t>
                            </w:r>
                            <w:r w:rsidRPr="003C6D04">
                              <w:t xml:space="preserve"> that focus on different projects or topics can help spread out the workload and engage more stakeholders in issues of interest to them.</w:t>
                            </w:r>
                          </w:p>
                          <w:p w14:paraId="39D8BBD3" w14:textId="77777777" w:rsidR="00483AC1" w:rsidRPr="003C6D04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>
                              <w:t>Use a</w:t>
                            </w:r>
                            <w:r w:rsidRPr="003C6D04">
                              <w:t xml:space="preserve"> </w:t>
                            </w:r>
                            <w:r w:rsidRPr="0002672C">
                              <w:rPr>
                                <w:b/>
                              </w:rPr>
                              <w:t>third-party, neutral facilitator</w:t>
                            </w:r>
                            <w:r>
                              <w:t xml:space="preserve"> to </w:t>
                            </w:r>
                            <w:r w:rsidRPr="003C6D04">
                              <w:t>start the group off on the right foot or navigate contentious issues.</w:t>
                            </w:r>
                          </w:p>
                          <w:p w14:paraId="4AAA665E" w14:textId="77777777" w:rsidR="00483AC1" w:rsidRPr="003C6D04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02672C">
                              <w:rPr>
                                <w:b/>
                              </w:rPr>
                              <w:t>Take good notes at meetings and field trips and share them</w:t>
                            </w:r>
                            <w:r w:rsidRPr="003C6D04">
                              <w:t>. Notes can serve as a valuable reference and establish accountability and transparency.</w:t>
                            </w:r>
                          </w:p>
                          <w:p w14:paraId="06260064" w14:textId="77777777" w:rsidR="00483AC1" w:rsidRPr="003C6D04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02672C">
                              <w:rPr>
                                <w:b/>
                              </w:rPr>
                              <w:t>Go out into the field</w:t>
                            </w:r>
                            <w:r w:rsidRPr="003C6D04">
                              <w:t xml:space="preserve"> </w:t>
                            </w:r>
                            <w:r>
                              <w:t xml:space="preserve">to help resolve conflicts. It </w:t>
                            </w:r>
                            <w:r w:rsidRPr="003C6D04">
                              <w:t>is nearly always the best way! Remember to have fun and spend time building social connections.</w:t>
                            </w:r>
                          </w:p>
                          <w:p w14:paraId="7AE9A071" w14:textId="77777777" w:rsidR="00483AC1" w:rsidRPr="003C6D04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3C6D04">
                              <w:t>Recognize that the Forest Service doesn’t need to run everything</w:t>
                            </w:r>
                            <w:r>
                              <w:t>;</w:t>
                            </w:r>
                            <w:r w:rsidRPr="003C6D04">
                              <w:t xml:space="preserve"> </w:t>
                            </w:r>
                            <w:r w:rsidRPr="0002672C">
                              <w:rPr>
                                <w:b/>
                              </w:rPr>
                              <w:t>partners can take the lead</w:t>
                            </w:r>
                            <w:r w:rsidRPr="003C6D04">
                              <w:t>.</w:t>
                            </w:r>
                            <w:r>
                              <w:t xml:space="preserve"> </w:t>
                            </w:r>
                            <w:r w:rsidRPr="0002672C">
                              <w:rPr>
                                <w:b/>
                              </w:rPr>
                              <w:t>Recognize and leverage everyone’s skills and interests</w:t>
                            </w:r>
                            <w:r w:rsidRPr="003C6D04">
                              <w:t xml:space="preserve"> to encourage shared ownership and increase capacity.</w:t>
                            </w:r>
                          </w:p>
                          <w:p w14:paraId="6FBCFE04" w14:textId="77777777" w:rsidR="00483AC1" w:rsidRPr="003C6D04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02672C">
                              <w:rPr>
                                <w:b/>
                              </w:rPr>
                              <w:t>Start with smaller projects</w:t>
                            </w:r>
                            <w:r w:rsidRPr="003C6D04">
                              <w:t xml:space="preserve"> to build trust, expectations, and capacity before tackling more difficult projects.</w:t>
                            </w:r>
                          </w:p>
                          <w:p w14:paraId="4069E01B" w14:textId="77777777" w:rsidR="00483AC1" w:rsidRPr="003C6D04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3C6D04">
                              <w:t>Continue to ask</w:t>
                            </w:r>
                            <w:r>
                              <w:t>,</w:t>
                            </w:r>
                            <w:r w:rsidRPr="003C6D04">
                              <w:t xml:space="preserve"> “</w:t>
                            </w:r>
                            <w:r>
                              <w:t>W</w:t>
                            </w:r>
                            <w:r w:rsidRPr="003C6D04">
                              <w:t>ho’s not at the table?”</w:t>
                            </w:r>
                          </w:p>
                          <w:p w14:paraId="38C74101" w14:textId="77777777" w:rsidR="00483AC1" w:rsidRPr="003C6D04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02672C">
                              <w:rPr>
                                <w:b/>
                              </w:rPr>
                              <w:t>Explore creative ways to work together</w:t>
                            </w:r>
                            <w:r w:rsidRPr="003C6D04">
                              <w:t xml:space="preserve"> in project planning, implementation, and monitoring. Can partners be involved in writing NEPA documents? Completing surveys? Marking trees?</w:t>
                            </w:r>
                          </w:p>
                          <w:p w14:paraId="4F158AFE" w14:textId="77777777" w:rsidR="00483AC1" w:rsidRPr="003C6D04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3C6D04">
                              <w:t xml:space="preserve">Use </w:t>
                            </w:r>
                            <w:r w:rsidRPr="0002672C">
                              <w:rPr>
                                <w:b/>
                              </w:rPr>
                              <w:t>best available science and site-specific monitoring</w:t>
                            </w:r>
                            <w:r w:rsidRPr="003C6D04">
                              <w:t xml:space="preserve"> as your guide for working through controvers</w:t>
                            </w:r>
                            <w:r>
                              <w:t>y.</w:t>
                            </w:r>
                          </w:p>
                          <w:p w14:paraId="088224FE" w14:textId="77777777" w:rsidR="00483AC1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02672C">
                              <w:rPr>
                                <w:b/>
                              </w:rPr>
                              <w:t>Seek strong line-officer support for collaboration</w:t>
                            </w:r>
                            <w:r>
                              <w:t>. It</w:t>
                            </w:r>
                            <w:r w:rsidRPr="003C6D04">
                              <w:t xml:space="preserve"> is critical for creating a shared vision and expectation</w:t>
                            </w:r>
                            <w:r>
                              <w:t>.</w:t>
                            </w:r>
                          </w:p>
                          <w:p w14:paraId="03D1DB46" w14:textId="77777777" w:rsidR="00483AC1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02672C">
                              <w:rPr>
                                <w:b/>
                              </w:rPr>
                              <w:t>Partnerships expand what the Forest can accomplish, and they require investment from the Forest</w:t>
                            </w:r>
                            <w:r>
                              <w:t xml:space="preserve">. </w:t>
                            </w:r>
                            <w:r w:rsidRPr="0002672C">
                              <w:t>There is a basic level of partnership capacity on the Forest that must be maintained to be effective.</w:t>
                            </w:r>
                          </w:p>
                          <w:p w14:paraId="24D5CC58" w14:textId="77777777" w:rsidR="00483AC1" w:rsidRDefault="00483AC1" w:rsidP="00483AC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>
                              <w:rPr>
                                <w:b/>
                              </w:rPr>
                              <w:t>Recognize the importance of continuity in building and maintaining effective working relationships and communication</w:t>
                            </w:r>
                            <w:r w:rsidRPr="0002672C">
                              <w:t>.</w:t>
                            </w:r>
                            <w:r>
                              <w:t xml:space="preserve"> When a turnover in personnel must occur, consider ways to involve partners in bringing in key new staff, including devoted time to meet with partners and using the handover memo. </w:t>
                            </w:r>
                          </w:p>
                          <w:p w14:paraId="390D237C" w14:textId="77777777" w:rsidR="00483AC1" w:rsidRPr="00E00E2B" w:rsidRDefault="00483AC1" w:rsidP="00483AC1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3CCB" id="_x0000_s1029" type="#_x0000_t202" style="position:absolute;left:0;text-align:left;margin-left:0;margin-top:251.05pt;width:538.55pt;height:402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" fillcolor="white [3201]" strokecolor="#4472c4 [3204]" strokeweight="1pt">
                <v:textbox>
                  <w:txbxContent>
                    <w:p w14:paraId="5B5DB208" w14:textId="77777777" w:rsidR="00483AC1" w:rsidRPr="00041F67" w:rsidRDefault="00483AC1" w:rsidP="00483AC1">
                      <w:pPr>
                        <w:pStyle w:val="Heading3"/>
                        <w:rPr>
                          <w:rStyle w:val="Heading3Char"/>
                          <w:b/>
                          <w:i/>
                          <w:iCs/>
                          <w:color w:val="2F5496" w:themeColor="accent1" w:themeShade="BF"/>
                        </w:rPr>
                      </w:pPr>
                      <w:bookmarkStart w:id="15" w:name="_Toc48661663"/>
                      <w:bookmarkStart w:id="16" w:name="_Toc48740487"/>
                      <w:r w:rsidRPr="00941CDF">
                        <w:rPr>
                          <w:rStyle w:val="Heading3Char"/>
                          <w:color w:val="2F5496" w:themeColor="accent1" w:themeShade="BF"/>
                        </w:rPr>
                        <w:t>Best Practice</w:t>
                      </w:r>
                      <w:r>
                        <w:rPr>
                          <w:rStyle w:val="Heading3Char"/>
                          <w:color w:val="2F5496" w:themeColor="accent1" w:themeShade="BF"/>
                        </w:rPr>
                        <w:t xml:space="preserve"> Summary </w:t>
                      </w:r>
                      <w:r w:rsidRPr="00041F67">
                        <w:rPr>
                          <w:rStyle w:val="Heading3Char"/>
                          <w:i/>
                          <w:iCs/>
                          <w:color w:val="2F5496" w:themeColor="accent1" w:themeShade="BF"/>
                        </w:rPr>
                        <w:t xml:space="preserve">(for additional resources, see </w:t>
                      </w:r>
                      <w:hyperlink r:id="rId11" w:history="1">
                        <w:r w:rsidRPr="00041F67">
                          <w:rPr>
                            <w:rStyle w:val="Hyperlink"/>
                            <w:i/>
                            <w:iCs/>
                          </w:rPr>
                          <w:t>full CFLRP results and lessons learned</w:t>
                        </w:r>
                        <w:bookmarkEnd w:id="15"/>
                        <w:bookmarkEnd w:id="16"/>
                      </w:hyperlink>
                      <w:r>
                        <w:rPr>
                          <w:rStyle w:val="Hyperlink"/>
                          <w:i/>
                          <w:iCs/>
                        </w:rPr>
                        <w:t xml:space="preserve"> report</w:t>
                      </w:r>
                      <w:r w:rsidRPr="00041F67">
                        <w:rPr>
                          <w:rStyle w:val="Heading3Char"/>
                          <w:i/>
                          <w:iCs/>
                          <w:color w:val="2F5496" w:themeColor="accent1" w:themeShade="BF"/>
                        </w:rPr>
                        <w:t>)</w:t>
                      </w:r>
                    </w:p>
                    <w:p w14:paraId="3483C129" w14:textId="77777777" w:rsidR="00483AC1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02672C">
                        <w:rPr>
                          <w:b/>
                        </w:rPr>
                        <w:t>Invest in building trust and working relationships</w:t>
                      </w:r>
                      <w:r w:rsidRPr="003C6D04">
                        <w:t xml:space="preserve"> with partners and community members</w:t>
                      </w:r>
                      <w:r>
                        <w:t>,</w:t>
                      </w:r>
                      <w:r w:rsidRPr="003C6D04">
                        <w:t xml:space="preserve"> and recognize it takes time to do so.</w:t>
                      </w:r>
                    </w:p>
                    <w:p w14:paraId="3D961D15" w14:textId="77777777" w:rsidR="00483AC1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02672C">
                        <w:rPr>
                          <w:b/>
                        </w:rPr>
                        <w:t>Start with what you have in common</w:t>
                      </w:r>
                      <w:r w:rsidRPr="003C6D04">
                        <w:t>–the shared vision for desired objectives for the landscape</w:t>
                      </w:r>
                      <w:r>
                        <w:t>.</w:t>
                      </w:r>
                    </w:p>
                    <w:p w14:paraId="42E68AA4" w14:textId="77777777" w:rsidR="00483AC1" w:rsidRPr="003C6D04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02672C">
                        <w:rPr>
                          <w:b/>
                        </w:rPr>
                        <w:t xml:space="preserve">Develop expectations with the group for how it will function </w:t>
                      </w:r>
                      <w:r w:rsidRPr="003C6D04">
                        <w:t>at the beginning, including ground rules, a charter, and organizational structure</w:t>
                      </w:r>
                      <w:r>
                        <w:t xml:space="preserve"> </w:t>
                      </w:r>
                      <w:r w:rsidRPr="003C6D04">
                        <w:t>and revisit to adapt</w:t>
                      </w:r>
                      <w:r>
                        <w:t>,</w:t>
                      </w:r>
                      <w:r w:rsidRPr="003C6D04">
                        <w:t xml:space="preserve"> as needed. Every group will be different, but proactively discussing the structure and processes of the group upfront can support success.</w:t>
                      </w:r>
                    </w:p>
                    <w:p w14:paraId="21619184" w14:textId="77777777" w:rsidR="00483AC1" w:rsidRPr="003C6D04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02672C">
                        <w:t>Consider</w:t>
                      </w:r>
                      <w:r>
                        <w:rPr>
                          <w:b/>
                        </w:rPr>
                        <w:t xml:space="preserve"> establishing and documenting the “zones of agreement,” </w:t>
                      </w:r>
                      <w:r w:rsidRPr="0002672C">
                        <w:t>or consensus, where partners and stakeholders agree on a shared vision for rest</w:t>
                      </w:r>
                      <w:r>
                        <w:t xml:space="preserve">oration outcomes. </w:t>
                      </w:r>
                    </w:p>
                    <w:p w14:paraId="371849EC" w14:textId="77777777" w:rsidR="00483AC1" w:rsidRPr="003C6D04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>
                        <w:rPr>
                          <w:b/>
                        </w:rPr>
                        <w:t>S</w:t>
                      </w:r>
                      <w:r w:rsidRPr="0002672C">
                        <w:rPr>
                          <w:b/>
                        </w:rPr>
                        <w:t>ubcommittees</w:t>
                      </w:r>
                      <w:r w:rsidRPr="003C6D04">
                        <w:t xml:space="preserve"> that focus on different projects or topics can help spread out the workload and engage more stakeholders in issues of interest to them.</w:t>
                      </w:r>
                    </w:p>
                    <w:p w14:paraId="39D8BBD3" w14:textId="77777777" w:rsidR="00483AC1" w:rsidRPr="003C6D04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>
                        <w:t>Use a</w:t>
                      </w:r>
                      <w:r w:rsidRPr="003C6D04">
                        <w:t xml:space="preserve"> </w:t>
                      </w:r>
                      <w:r w:rsidRPr="0002672C">
                        <w:rPr>
                          <w:b/>
                        </w:rPr>
                        <w:t>third-party, neutral facilitator</w:t>
                      </w:r>
                      <w:r>
                        <w:t xml:space="preserve"> to </w:t>
                      </w:r>
                      <w:r w:rsidRPr="003C6D04">
                        <w:t>start the group off on the right foot or navigate contentious issues.</w:t>
                      </w:r>
                    </w:p>
                    <w:p w14:paraId="4AAA665E" w14:textId="77777777" w:rsidR="00483AC1" w:rsidRPr="003C6D04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02672C">
                        <w:rPr>
                          <w:b/>
                        </w:rPr>
                        <w:t>Take good notes at meetings and field trips and share them</w:t>
                      </w:r>
                      <w:r w:rsidRPr="003C6D04">
                        <w:t>. Notes can serve as a valuable reference and establish accountability and transparency.</w:t>
                      </w:r>
                    </w:p>
                    <w:p w14:paraId="06260064" w14:textId="77777777" w:rsidR="00483AC1" w:rsidRPr="003C6D04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02672C">
                        <w:rPr>
                          <w:b/>
                        </w:rPr>
                        <w:t>Go out into the field</w:t>
                      </w:r>
                      <w:r w:rsidRPr="003C6D04">
                        <w:t xml:space="preserve"> </w:t>
                      </w:r>
                      <w:r>
                        <w:t xml:space="preserve">to help resolve conflicts. It </w:t>
                      </w:r>
                      <w:r w:rsidRPr="003C6D04">
                        <w:t>is nearly always the best way! Remember to have fun and spend time building social connections.</w:t>
                      </w:r>
                    </w:p>
                    <w:p w14:paraId="7AE9A071" w14:textId="77777777" w:rsidR="00483AC1" w:rsidRPr="003C6D04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3C6D04">
                        <w:t>Recognize that the Forest Service doesn’t need to run everything</w:t>
                      </w:r>
                      <w:r>
                        <w:t>;</w:t>
                      </w:r>
                      <w:r w:rsidRPr="003C6D04">
                        <w:t xml:space="preserve"> </w:t>
                      </w:r>
                      <w:r w:rsidRPr="0002672C">
                        <w:rPr>
                          <w:b/>
                        </w:rPr>
                        <w:t>partners can take the lead</w:t>
                      </w:r>
                      <w:r w:rsidRPr="003C6D04">
                        <w:t>.</w:t>
                      </w:r>
                      <w:r>
                        <w:t xml:space="preserve"> </w:t>
                      </w:r>
                      <w:r w:rsidRPr="0002672C">
                        <w:rPr>
                          <w:b/>
                        </w:rPr>
                        <w:t>Recognize and leverage everyone’s skills and interests</w:t>
                      </w:r>
                      <w:r w:rsidRPr="003C6D04">
                        <w:t xml:space="preserve"> to encourage shared ownership and increase capacity.</w:t>
                      </w:r>
                    </w:p>
                    <w:p w14:paraId="6FBCFE04" w14:textId="77777777" w:rsidR="00483AC1" w:rsidRPr="003C6D04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02672C">
                        <w:rPr>
                          <w:b/>
                        </w:rPr>
                        <w:t>Start with smaller projects</w:t>
                      </w:r>
                      <w:r w:rsidRPr="003C6D04">
                        <w:t xml:space="preserve"> to build trust, expectations, and capacity before tackling more difficult projects.</w:t>
                      </w:r>
                    </w:p>
                    <w:p w14:paraId="4069E01B" w14:textId="77777777" w:rsidR="00483AC1" w:rsidRPr="003C6D04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3C6D04">
                        <w:t>Continue to ask</w:t>
                      </w:r>
                      <w:r>
                        <w:t>,</w:t>
                      </w:r>
                      <w:r w:rsidRPr="003C6D04">
                        <w:t xml:space="preserve"> “</w:t>
                      </w:r>
                      <w:r>
                        <w:t>W</w:t>
                      </w:r>
                      <w:r w:rsidRPr="003C6D04">
                        <w:t>ho’s not at the table?”</w:t>
                      </w:r>
                    </w:p>
                    <w:p w14:paraId="38C74101" w14:textId="77777777" w:rsidR="00483AC1" w:rsidRPr="003C6D04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02672C">
                        <w:rPr>
                          <w:b/>
                        </w:rPr>
                        <w:t>Explore creative ways to work together</w:t>
                      </w:r>
                      <w:r w:rsidRPr="003C6D04">
                        <w:t xml:space="preserve"> in project planning, implementation, and monitoring. Can partners be involved in writing NEPA documents? Completing surveys? Marking trees?</w:t>
                      </w:r>
                    </w:p>
                    <w:p w14:paraId="4F158AFE" w14:textId="77777777" w:rsidR="00483AC1" w:rsidRPr="003C6D04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3C6D04">
                        <w:t xml:space="preserve">Use </w:t>
                      </w:r>
                      <w:r w:rsidRPr="0002672C">
                        <w:rPr>
                          <w:b/>
                        </w:rPr>
                        <w:t>best available science and site-specific monitoring</w:t>
                      </w:r>
                      <w:r w:rsidRPr="003C6D04">
                        <w:t xml:space="preserve"> as your guide for working through controvers</w:t>
                      </w:r>
                      <w:r>
                        <w:t>y.</w:t>
                      </w:r>
                    </w:p>
                    <w:p w14:paraId="088224FE" w14:textId="77777777" w:rsidR="00483AC1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02672C">
                        <w:rPr>
                          <w:b/>
                        </w:rPr>
                        <w:t>Seek strong line-officer support for collaboration</w:t>
                      </w:r>
                      <w:r>
                        <w:t>. It</w:t>
                      </w:r>
                      <w:r w:rsidRPr="003C6D04">
                        <w:t xml:space="preserve"> is critical for creating a shared vision and expectation</w:t>
                      </w:r>
                      <w:r>
                        <w:t>.</w:t>
                      </w:r>
                    </w:p>
                    <w:p w14:paraId="03D1DB46" w14:textId="77777777" w:rsidR="00483AC1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02672C">
                        <w:rPr>
                          <w:b/>
                        </w:rPr>
                        <w:t>Partnerships expand what the Forest can accomplish, and they require investment from the Forest</w:t>
                      </w:r>
                      <w:r>
                        <w:t xml:space="preserve">. </w:t>
                      </w:r>
                      <w:r w:rsidRPr="0002672C">
                        <w:t>There is a basic level of partnership capacity on the Forest that must be maintained to be effective.</w:t>
                      </w:r>
                    </w:p>
                    <w:p w14:paraId="24D5CC58" w14:textId="77777777" w:rsidR="00483AC1" w:rsidRDefault="00483AC1" w:rsidP="00483AC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>
                        <w:rPr>
                          <w:b/>
                        </w:rPr>
                        <w:t>Recognize the importance of continuity in building and maintaining effective working relationships and communication</w:t>
                      </w:r>
                      <w:r w:rsidRPr="0002672C">
                        <w:t>.</w:t>
                      </w:r>
                      <w:r>
                        <w:t xml:space="preserve"> When a turnover in personnel must occur, consider ways to involve partners in bringing in key new staff, including devoted time to meet with partners and using the handover memo. </w:t>
                      </w:r>
                    </w:p>
                    <w:p w14:paraId="390D237C" w14:textId="77777777" w:rsidR="00483AC1" w:rsidRPr="00E00E2B" w:rsidRDefault="00483AC1" w:rsidP="00483AC1">
                      <w:pPr>
                        <w:contextualSpacing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7279" w:rsidRPr="00647303">
        <w:rPr>
          <w:b/>
          <w:bCs/>
          <w:sz w:val="24"/>
          <w:szCs w:val="24"/>
        </w:rPr>
        <w:t>Common challenges</w:t>
      </w:r>
      <w:r w:rsidR="00BC7279" w:rsidRPr="00647303">
        <w:rPr>
          <w:sz w:val="24"/>
          <w:szCs w:val="24"/>
        </w:rPr>
        <w:t xml:space="preserve"> included turnover in personnel, a history of dist</w:t>
      </w:r>
      <w:r w:rsidR="004E12A4" w:rsidRPr="00647303">
        <w:rPr>
          <w:sz w:val="24"/>
          <w:szCs w:val="24"/>
        </w:rPr>
        <w:t>rust</w:t>
      </w:r>
      <w:r w:rsidR="00BC7279" w:rsidRPr="00647303">
        <w:rPr>
          <w:sz w:val="24"/>
          <w:szCs w:val="24"/>
        </w:rPr>
        <w:t xml:space="preserve">, lack of agreement around shared goals, receptivity of Forest Service line officers to collaborative input, time and capacity needed to collaborate, impacts of litigation, effective collaboration in </w:t>
      </w:r>
      <w:r w:rsidR="004E12A4" w:rsidRPr="00647303">
        <w:rPr>
          <w:sz w:val="24"/>
          <w:szCs w:val="24"/>
        </w:rPr>
        <w:t>project</w:t>
      </w:r>
      <w:r w:rsidR="00BC7279" w:rsidRPr="00647303">
        <w:rPr>
          <w:sz w:val="24"/>
          <w:szCs w:val="24"/>
        </w:rPr>
        <w:t xml:space="preserve"> implementation, translating the collaboration vision into contacts and agreements, and “FACA-phobia.”</w:t>
      </w:r>
      <w:r w:rsidRPr="00483AC1">
        <w:rPr>
          <w:noProof/>
        </w:rPr>
        <w:t xml:space="preserve"> </w:t>
      </w:r>
    </w:p>
    <w:p w14:paraId="72B4B090" w14:textId="70ED467B" w:rsidR="00BC7279" w:rsidRDefault="00BC7279" w:rsidP="00BC7279">
      <w:pPr>
        <w:pStyle w:val="Heading2"/>
        <w:rPr>
          <w:b/>
          <w:bCs/>
          <w:i/>
          <w:iCs/>
          <w:color w:val="auto"/>
        </w:rPr>
      </w:pPr>
      <w:bookmarkStart w:id="17" w:name="_Toc48661664"/>
      <w:bookmarkStart w:id="18" w:name="_Toc48740488"/>
      <w:r w:rsidRPr="003A5F6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lastRenderedPageBreak/>
        <w:t>What have we learned about who participates and how to structure collaboration?</w:t>
      </w:r>
      <w:bookmarkEnd w:id="17"/>
      <w:bookmarkEnd w:id="18"/>
      <w:r w:rsidRPr="003A5F6D">
        <w:rPr>
          <w:b/>
          <w:bCs/>
          <w:i/>
          <w:iCs/>
          <w:color w:val="auto"/>
        </w:rPr>
        <w:t xml:space="preserve">  </w:t>
      </w:r>
    </w:p>
    <w:p w14:paraId="18E66A71" w14:textId="24CB492E" w:rsidR="00DE26D3" w:rsidRPr="00647303" w:rsidRDefault="00B82135" w:rsidP="00647303">
      <w:pPr>
        <w:pStyle w:val="ListParagraph"/>
        <w:numPr>
          <w:ilvl w:val="0"/>
          <w:numId w:val="21"/>
        </w:numPr>
        <w:spacing w:after="160" w:line="259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The structure of collaboratives vari</w:t>
      </w:r>
      <w:r w:rsidR="00D40FA5">
        <w:rPr>
          <w:rFonts w:cstheme="minorHAnsi"/>
          <w:sz w:val="24"/>
          <w:szCs w:val="24"/>
        </w:rPr>
        <w:t>es</w:t>
      </w:r>
      <w:r w:rsidR="00DE26D3" w:rsidRPr="00295FFC">
        <w:rPr>
          <w:rFonts w:cstheme="minorHAnsi"/>
          <w:sz w:val="24"/>
          <w:szCs w:val="24"/>
        </w:rPr>
        <w:t>.</w:t>
      </w:r>
      <w:r w:rsidR="00DE26D3" w:rsidRPr="006473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Many</w:t>
      </w:r>
      <w:r w:rsidR="00DE26D3" w:rsidRPr="00647303">
        <w:rPr>
          <w:rFonts w:cstheme="minorHAnsi"/>
          <w:sz w:val="24"/>
          <w:szCs w:val="24"/>
        </w:rPr>
        <w:t xml:space="preserve"> collaboratives have a charter, </w:t>
      </w:r>
      <w:r w:rsidR="00295FFC">
        <w:rPr>
          <w:rFonts w:cstheme="minorHAnsi"/>
          <w:sz w:val="24"/>
          <w:szCs w:val="24"/>
        </w:rPr>
        <w:t>memorandum of understanding</w:t>
      </w:r>
      <w:r w:rsidR="00DE26D3" w:rsidRPr="00647303">
        <w:rPr>
          <w:rFonts w:cstheme="minorHAnsi"/>
          <w:sz w:val="24"/>
          <w:szCs w:val="24"/>
        </w:rPr>
        <w:t xml:space="preserve">, operating principles, or other guidelines for </w:t>
      </w:r>
      <w:r w:rsidR="00295FFC">
        <w:rPr>
          <w:rFonts w:cstheme="minorHAnsi"/>
          <w:sz w:val="24"/>
          <w:szCs w:val="24"/>
        </w:rPr>
        <w:t>structuring</w:t>
      </w:r>
      <w:r w:rsidR="00DE26D3" w:rsidRPr="00647303">
        <w:rPr>
          <w:rFonts w:cstheme="minorHAnsi"/>
          <w:sz w:val="24"/>
          <w:szCs w:val="24"/>
        </w:rPr>
        <w:t xml:space="preserve"> work together.</w:t>
      </w:r>
      <w:r w:rsidR="00DE26D3" w:rsidRPr="00647303">
        <w:rPr>
          <w:sz w:val="24"/>
          <w:szCs w:val="24"/>
        </w:rPr>
        <w:t xml:space="preserve"> </w:t>
      </w:r>
      <w:r w:rsidR="00D40FA5" w:rsidRPr="00647303">
        <w:rPr>
          <w:sz w:val="24"/>
          <w:szCs w:val="24"/>
        </w:rPr>
        <w:t xml:space="preserve">Many use working groups. </w:t>
      </w:r>
      <w:r w:rsidR="00DE26D3" w:rsidRPr="00647303">
        <w:rPr>
          <w:sz w:val="24"/>
          <w:szCs w:val="24"/>
        </w:rPr>
        <w:t>By creating</w:t>
      </w:r>
      <w:r w:rsidR="00295FFC">
        <w:rPr>
          <w:sz w:val="24"/>
          <w:szCs w:val="24"/>
        </w:rPr>
        <w:t xml:space="preserve"> </w:t>
      </w:r>
      <w:r w:rsidR="00DE26D3" w:rsidRPr="00647303">
        <w:rPr>
          <w:sz w:val="24"/>
          <w:szCs w:val="24"/>
        </w:rPr>
        <w:t>mutually agreed upon purpose</w:t>
      </w:r>
      <w:r>
        <w:rPr>
          <w:sz w:val="24"/>
          <w:szCs w:val="24"/>
        </w:rPr>
        <w:t xml:space="preserve">s and processes </w:t>
      </w:r>
      <w:r w:rsidR="00DE26D3" w:rsidRPr="00647303">
        <w:rPr>
          <w:sz w:val="24"/>
          <w:szCs w:val="24"/>
        </w:rPr>
        <w:t xml:space="preserve">they establish clear communication and roles. </w:t>
      </w:r>
    </w:p>
    <w:p w14:paraId="5A8E3AB4" w14:textId="2F7E34CA" w:rsidR="00DE26D3" w:rsidRPr="00647303" w:rsidRDefault="00DE26D3" w:rsidP="00647303">
      <w:pPr>
        <w:pStyle w:val="ListParagraph"/>
        <w:numPr>
          <w:ilvl w:val="0"/>
          <w:numId w:val="21"/>
        </w:numPr>
        <w:spacing w:after="160" w:line="259" w:lineRule="auto"/>
        <w:rPr>
          <w:sz w:val="24"/>
          <w:szCs w:val="24"/>
        </w:rPr>
      </w:pPr>
      <w:r w:rsidRPr="00647303">
        <w:rPr>
          <w:rFonts w:eastAsia="Times New Roman"/>
          <w:sz w:val="24"/>
          <w:szCs w:val="24"/>
        </w:rPr>
        <w:t xml:space="preserve">Collaboratives may create recommendations for treatment proposals in specific areas, respond to </w:t>
      </w:r>
      <w:r w:rsidR="00295FFC">
        <w:rPr>
          <w:rFonts w:eastAsia="Times New Roman"/>
          <w:sz w:val="24"/>
          <w:szCs w:val="24"/>
        </w:rPr>
        <w:t>Forest Service-</w:t>
      </w:r>
      <w:r w:rsidRPr="00647303">
        <w:rPr>
          <w:rFonts w:eastAsia="Times New Roman"/>
          <w:sz w:val="24"/>
          <w:szCs w:val="24"/>
        </w:rPr>
        <w:t xml:space="preserve">developed proposals, or develop </w:t>
      </w:r>
      <w:hyperlink r:id="rId12" w:history="1">
        <w:r w:rsidRPr="00647303">
          <w:rPr>
            <w:rStyle w:val="Hyperlink"/>
            <w:sz w:val="24"/>
            <w:szCs w:val="24"/>
          </w:rPr>
          <w:t>zones of agreement</w:t>
        </w:r>
      </w:hyperlink>
      <w:r w:rsidRPr="00647303">
        <w:rPr>
          <w:rFonts w:eastAsia="Times New Roman"/>
          <w:color w:val="002060"/>
          <w:sz w:val="24"/>
          <w:szCs w:val="24"/>
        </w:rPr>
        <w:t>.</w:t>
      </w:r>
      <w:r w:rsidRPr="00647303">
        <w:rPr>
          <w:rFonts w:eastAsia="Times New Roman"/>
          <w:sz w:val="24"/>
          <w:szCs w:val="24"/>
        </w:rPr>
        <w:t xml:space="preserve"> C</w:t>
      </w:r>
      <w:r w:rsidRPr="00647303">
        <w:rPr>
          <w:sz w:val="24"/>
          <w:szCs w:val="24"/>
        </w:rPr>
        <w:t xml:space="preserve">onsensus with a back-up option </w:t>
      </w:r>
      <w:r w:rsidR="00295FFC">
        <w:rPr>
          <w:sz w:val="24"/>
          <w:szCs w:val="24"/>
        </w:rPr>
        <w:t>(such as unanimous minus one of two-third</w:t>
      </w:r>
      <w:r w:rsidR="00D40FA5">
        <w:rPr>
          <w:sz w:val="24"/>
          <w:szCs w:val="24"/>
        </w:rPr>
        <w:t>s</w:t>
      </w:r>
      <w:r w:rsidR="00295FFC">
        <w:rPr>
          <w:sz w:val="24"/>
          <w:szCs w:val="24"/>
        </w:rPr>
        <w:t xml:space="preserve"> majority) </w:t>
      </w:r>
      <w:r w:rsidRPr="00647303">
        <w:rPr>
          <w:sz w:val="24"/>
          <w:szCs w:val="24"/>
        </w:rPr>
        <w:t xml:space="preserve">when consensus can’t be reached is </w:t>
      </w:r>
      <w:r w:rsidR="00D40FA5">
        <w:rPr>
          <w:sz w:val="24"/>
          <w:szCs w:val="24"/>
        </w:rPr>
        <w:t>common.</w:t>
      </w:r>
    </w:p>
    <w:p w14:paraId="1D6EFA70" w14:textId="319DBFA8" w:rsidR="00DE26D3" w:rsidRPr="00647303" w:rsidRDefault="00DE26D3" w:rsidP="00647303">
      <w:pPr>
        <w:pStyle w:val="ListParagraph"/>
        <w:numPr>
          <w:ilvl w:val="0"/>
          <w:numId w:val="21"/>
        </w:numPr>
        <w:spacing w:after="160" w:line="259" w:lineRule="auto"/>
        <w:rPr>
          <w:sz w:val="24"/>
          <w:szCs w:val="24"/>
        </w:rPr>
      </w:pPr>
      <w:r w:rsidRPr="00647303">
        <w:rPr>
          <w:sz w:val="24"/>
          <w:szCs w:val="24"/>
        </w:rPr>
        <w:t xml:space="preserve">Some </w:t>
      </w:r>
      <w:r w:rsidR="00D40FA5">
        <w:rPr>
          <w:sz w:val="24"/>
          <w:szCs w:val="24"/>
        </w:rPr>
        <w:t>collaboratives</w:t>
      </w:r>
      <w:r w:rsidRPr="00647303">
        <w:rPr>
          <w:sz w:val="24"/>
          <w:szCs w:val="24"/>
        </w:rPr>
        <w:t xml:space="preserve"> are </w:t>
      </w:r>
      <w:r w:rsidR="00D40FA5">
        <w:rPr>
          <w:sz w:val="24"/>
          <w:szCs w:val="24"/>
        </w:rPr>
        <w:t xml:space="preserve">more </w:t>
      </w:r>
      <w:r w:rsidRPr="00647303">
        <w:rPr>
          <w:sz w:val="24"/>
          <w:szCs w:val="24"/>
        </w:rPr>
        <w:t xml:space="preserve">informal </w:t>
      </w:r>
      <w:r w:rsidR="00D40FA5">
        <w:rPr>
          <w:sz w:val="24"/>
          <w:szCs w:val="24"/>
        </w:rPr>
        <w:t xml:space="preserve">partner networks, often </w:t>
      </w:r>
      <w:r w:rsidRPr="00647303">
        <w:rPr>
          <w:sz w:val="24"/>
          <w:szCs w:val="24"/>
        </w:rPr>
        <w:t>in places with a strong shared vision and minimal contention</w:t>
      </w:r>
      <w:r w:rsidR="00D40FA5">
        <w:rPr>
          <w:sz w:val="24"/>
          <w:szCs w:val="24"/>
        </w:rPr>
        <w:t xml:space="preserve">. This approach may be riskier when </w:t>
      </w:r>
      <w:r w:rsidRPr="00647303">
        <w:rPr>
          <w:sz w:val="24"/>
          <w:szCs w:val="24"/>
        </w:rPr>
        <w:t xml:space="preserve">unexpected </w:t>
      </w:r>
      <w:r w:rsidR="00D40FA5">
        <w:rPr>
          <w:sz w:val="24"/>
          <w:szCs w:val="24"/>
        </w:rPr>
        <w:t>change or contention</w:t>
      </w:r>
      <w:r w:rsidRPr="00647303">
        <w:rPr>
          <w:sz w:val="24"/>
          <w:szCs w:val="24"/>
        </w:rPr>
        <w:t xml:space="preserve"> arises.  </w:t>
      </w:r>
    </w:p>
    <w:p w14:paraId="458A5582" w14:textId="77777777" w:rsidR="00BC7279" w:rsidRPr="003A5F6D" w:rsidRDefault="00DE26D3" w:rsidP="00041F6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b/>
          <w:bCs/>
          <w:noProof/>
          <w:u w:val="single"/>
        </w:rPr>
        <w:drawing>
          <wp:inline distT="0" distB="0" distL="0" distR="0" wp14:anchorId="07EB18A6" wp14:editId="38A78CFA">
            <wp:extent cx="4892923" cy="3028493"/>
            <wp:effectExtent l="0" t="0" r="3175" b="635"/>
            <wp:docPr id="13" name="Picture 13" descr="Pi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686" cy="306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F2641" w14:textId="34B7F3EE" w:rsidR="00DE26D3" w:rsidRDefault="00291377" w:rsidP="00DE26D3">
      <w:pPr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DE26D3" w:rsidRPr="003A5F6D">
        <w:rPr>
          <w:rFonts w:cstheme="minorHAnsi"/>
          <w:bCs/>
          <w:sz w:val="24"/>
          <w:szCs w:val="24"/>
        </w:rPr>
        <w:t>articipa</w:t>
      </w:r>
      <w:r>
        <w:rPr>
          <w:rFonts w:cstheme="minorHAnsi"/>
          <w:bCs/>
          <w:sz w:val="24"/>
          <w:szCs w:val="24"/>
        </w:rPr>
        <w:t>ting organization</w:t>
      </w:r>
      <w:r w:rsidR="00295FFC">
        <w:rPr>
          <w:rFonts w:cstheme="minorHAnsi"/>
          <w:bCs/>
          <w:sz w:val="24"/>
          <w:szCs w:val="24"/>
        </w:rPr>
        <w:t>s</w:t>
      </w:r>
      <w:r w:rsidR="00DE26D3" w:rsidRPr="003A5F6D">
        <w:rPr>
          <w:rFonts w:cstheme="minorHAnsi"/>
          <w:bCs/>
          <w:sz w:val="24"/>
          <w:szCs w:val="24"/>
        </w:rPr>
        <w:t xml:space="preserve"> tend to be local and regional</w:t>
      </w:r>
      <w:r>
        <w:rPr>
          <w:rFonts w:cstheme="minorHAnsi"/>
          <w:bCs/>
          <w:sz w:val="24"/>
          <w:szCs w:val="24"/>
        </w:rPr>
        <w:t>, with some national organization</w:t>
      </w:r>
      <w:r w:rsidR="00295FFC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 participating in </w:t>
      </w:r>
      <w:r w:rsidR="00295FFC">
        <w:rPr>
          <w:rFonts w:cstheme="minorHAnsi"/>
          <w:bCs/>
          <w:sz w:val="24"/>
          <w:szCs w:val="24"/>
        </w:rPr>
        <w:t xml:space="preserve">several </w:t>
      </w:r>
      <w:r>
        <w:rPr>
          <w:rFonts w:cstheme="minorHAnsi"/>
          <w:bCs/>
          <w:sz w:val="24"/>
          <w:szCs w:val="24"/>
        </w:rPr>
        <w:t>CFLRP projects</w:t>
      </w:r>
      <w:r w:rsidR="00483AC1">
        <w:rPr>
          <w:rFonts w:cstheme="minorHAnsi"/>
          <w:bCs/>
          <w:sz w:val="24"/>
          <w:szCs w:val="24"/>
        </w:rPr>
        <w:t>. Most</w:t>
      </w:r>
      <w:r w:rsidR="00295FFC">
        <w:rPr>
          <w:rFonts w:cstheme="minorHAnsi"/>
          <w:bCs/>
          <w:sz w:val="24"/>
          <w:szCs w:val="24"/>
        </w:rPr>
        <w:t xml:space="preserve"> survey respondents </w:t>
      </w:r>
      <w:r w:rsidR="00483AC1">
        <w:rPr>
          <w:rFonts w:cstheme="minorHAnsi"/>
          <w:bCs/>
          <w:sz w:val="24"/>
          <w:szCs w:val="24"/>
        </w:rPr>
        <w:t>said</w:t>
      </w:r>
      <w:r w:rsidR="00295FFC" w:rsidRPr="00295FFC">
        <w:rPr>
          <w:rFonts w:cstheme="minorHAnsi"/>
          <w:bCs/>
          <w:sz w:val="24"/>
          <w:szCs w:val="24"/>
        </w:rPr>
        <w:t xml:space="preserve"> organizations with a stake in the CFLRP are engaged</w:t>
      </w:r>
      <w:r w:rsidR="00295FFC">
        <w:rPr>
          <w:rFonts w:cstheme="minorHAnsi"/>
          <w:bCs/>
          <w:sz w:val="24"/>
          <w:szCs w:val="24"/>
        </w:rPr>
        <w:t>.</w:t>
      </w:r>
      <w:r w:rsidR="00295FFC">
        <w:rPr>
          <w:rStyle w:val="FootnoteReference"/>
          <w:rFonts w:cstheme="minorHAnsi"/>
          <w:bCs/>
          <w:sz w:val="24"/>
          <w:szCs w:val="24"/>
        </w:rPr>
        <w:footnoteReference w:id="7"/>
      </w:r>
      <w:r w:rsidR="00295FFC" w:rsidRPr="00295FFC">
        <w:rPr>
          <w:rFonts w:cstheme="minorHAnsi"/>
          <w:bCs/>
          <w:sz w:val="24"/>
          <w:szCs w:val="24"/>
        </w:rPr>
        <w:t xml:space="preserve"> </w:t>
      </w:r>
    </w:p>
    <w:bookmarkEnd w:id="11"/>
    <w:bookmarkEnd w:id="12"/>
    <w:p w14:paraId="32A32AA1" w14:textId="77777777" w:rsidR="00D40FA5" w:rsidRPr="00D40FA5" w:rsidRDefault="00D40FA5" w:rsidP="00647303">
      <w:pPr>
        <w:pStyle w:val="Heading2"/>
        <w:rPr>
          <w:b/>
          <w:bCs/>
          <w:sz w:val="16"/>
          <w:szCs w:val="16"/>
        </w:rPr>
      </w:pPr>
    </w:p>
    <w:p w14:paraId="5F837726" w14:textId="1F5C4A82" w:rsidR="004E12A4" w:rsidRPr="00647303" w:rsidRDefault="004E12A4" w:rsidP="00647303">
      <w:pPr>
        <w:pStyle w:val="Heading2"/>
        <w:rPr>
          <w:b/>
          <w:bCs/>
        </w:rPr>
      </w:pPr>
      <w:r w:rsidRPr="00647303">
        <w:rPr>
          <w:b/>
          <w:bCs/>
        </w:rPr>
        <w:t>Where to Learn More</w:t>
      </w:r>
      <w:r w:rsidR="00041F67">
        <w:rPr>
          <w:b/>
          <w:bCs/>
        </w:rPr>
        <w:t xml:space="preserve"> </w:t>
      </w:r>
      <w:r w:rsidR="00041F67" w:rsidRPr="00041F67">
        <w:rPr>
          <w:b/>
          <w:bCs/>
          <w:i/>
          <w:iCs/>
        </w:rPr>
        <w:t xml:space="preserve">(selected resources from </w:t>
      </w:r>
      <w:hyperlink r:id="rId14" w:history="1">
        <w:r w:rsidR="00041F67" w:rsidRPr="00041F67">
          <w:rPr>
            <w:rStyle w:val="Hyperlink"/>
            <w:b/>
            <w:bCs/>
            <w:i/>
            <w:iCs/>
          </w:rPr>
          <w:t>CFLRP Results and Lessons Learned</w:t>
        </w:r>
      </w:hyperlink>
      <w:r w:rsidR="00041F67" w:rsidRPr="00041F67">
        <w:rPr>
          <w:b/>
          <w:bCs/>
          <w:i/>
          <w:iCs/>
        </w:rPr>
        <w:t>)</w:t>
      </w:r>
      <w:r w:rsidR="00041F67">
        <w:rPr>
          <w:b/>
          <w:bCs/>
        </w:rPr>
        <w:t xml:space="preserve"> </w:t>
      </w:r>
    </w:p>
    <w:p w14:paraId="079A597D" w14:textId="77777777" w:rsidR="004E12A4" w:rsidRPr="003A5F6D" w:rsidRDefault="004E12A4" w:rsidP="004E12A4">
      <w:r w:rsidRPr="00272EF5">
        <w:rPr>
          <w:noProof/>
        </w:rPr>
        <mc:AlternateContent>
          <mc:Choice Requires="wps">
            <w:drawing>
              <wp:inline distT="0" distB="0" distL="0" distR="0" wp14:anchorId="3DE252F5" wp14:editId="4DFDA20A">
                <wp:extent cx="6772275" cy="1485900"/>
                <wp:effectExtent l="0" t="0" r="28575" b="1905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85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C8B23" w14:textId="0A7E192D" w:rsidR="004E12A4" w:rsidRPr="00E22B90" w:rsidRDefault="004E12A4" w:rsidP="004E12A4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</w:pPr>
                            <w:r w:rsidRPr="00E22B90">
                              <w:t xml:space="preserve">The </w:t>
                            </w:r>
                            <w:hyperlink r:id="rId15" w:history="1">
                              <w:r w:rsidRPr="00E22B90">
                                <w:rPr>
                                  <w:rStyle w:val="Hyperlink"/>
                                </w:rPr>
                                <w:t>CFLR Resource Library</w:t>
                              </w:r>
                            </w:hyperlink>
                            <w:r w:rsidRPr="00E22B90">
                              <w:t xml:space="preserve"> includes links to resources to support collaboration</w:t>
                            </w:r>
                          </w:p>
                          <w:p w14:paraId="2BE291C9" w14:textId="5899FB0D" w:rsidR="004E12A4" w:rsidRPr="00E00E2B" w:rsidRDefault="00EE00EC" w:rsidP="004E12A4">
                            <w:pPr>
                              <w:numPr>
                                <w:ilvl w:val="0"/>
                                <w:numId w:val="22"/>
                              </w:numPr>
                              <w:spacing w:after="0"/>
                              <w:contextualSpacing/>
                            </w:pPr>
                            <w:hyperlink r:id="rId16" w:history="1">
                              <w:r w:rsidR="00DE26D3" w:rsidRPr="00017AF2">
                                <w:rPr>
                                  <w:rStyle w:val="Hyperlink"/>
                                </w:rPr>
                                <w:t>National Forest Foundation Practice of Collaboration Website</w:t>
                              </w:r>
                            </w:hyperlink>
                            <w:r w:rsidR="00DE26D3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="00D40FA5">
                              <w:t>with</w:t>
                            </w:r>
                            <w:r w:rsidR="004E12A4" w:rsidRPr="00017AF2">
                              <w:t xml:space="preserve"> peer learning sessions </w:t>
                            </w:r>
                            <w:r w:rsidR="00D40FA5">
                              <w:t>like</w:t>
                            </w:r>
                            <w:r w:rsidR="004E12A4" w:rsidRPr="00E00E2B">
                              <w:t xml:space="preserve"> </w:t>
                            </w:r>
                            <w:hyperlink r:id="rId17" w:history="1">
                              <w:proofErr w:type="spellStart"/>
                              <w:r w:rsidR="004E12A4" w:rsidRPr="00E00E2B">
                                <w:rPr>
                                  <w:rStyle w:val="Hyperlink"/>
                                </w:rPr>
                                <w:t>FACAPhobia</w:t>
                              </w:r>
                              <w:proofErr w:type="spellEnd"/>
                            </w:hyperlink>
                          </w:p>
                          <w:p w14:paraId="426587C9" w14:textId="5471B100" w:rsidR="00291377" w:rsidRPr="00017AF2" w:rsidRDefault="004E12A4" w:rsidP="004E12A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017AF2">
                              <w:t xml:space="preserve">Best practices on creating resilience through transition </w:t>
                            </w:r>
                            <w:r>
                              <w:t>include</w:t>
                            </w:r>
                            <w:r w:rsidRPr="00017AF2">
                              <w:t xml:space="preserve"> the USFS </w:t>
                            </w:r>
                            <w:hyperlink r:id="rId18" w:history="1">
                              <w:r w:rsidRPr="00D855E9">
                                <w:rPr>
                                  <w:rStyle w:val="Hyperlink"/>
                                </w:rPr>
                                <w:t>Handover Memo</w:t>
                              </w:r>
                            </w:hyperlink>
                            <w:r w:rsidRPr="00017AF2">
                              <w:t xml:space="preserve"> </w:t>
                            </w:r>
                          </w:p>
                          <w:p w14:paraId="2F306BAC" w14:textId="17E0310F" w:rsidR="004E12A4" w:rsidRPr="001E0DA7" w:rsidRDefault="004E12A4" w:rsidP="0091760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751214">
                              <w:t xml:space="preserve">The </w:t>
                            </w:r>
                            <w:hyperlink r:id="rId19" w:history="1">
                              <w:r w:rsidRPr="00DE26D3">
                                <w:rPr>
                                  <w:rStyle w:val="Hyperlink"/>
                                </w:rPr>
                                <w:t>National Collaboration Cadre</w:t>
                              </w:r>
                            </w:hyperlink>
                            <w:r w:rsidRPr="00751214">
                              <w:t xml:space="preserve"> is a network of people who work with National Forests</w:t>
                            </w:r>
                            <w:r w:rsidR="00D40FA5">
                              <w:t xml:space="preserve"> </w:t>
                            </w:r>
                            <w:r w:rsidRPr="00751214">
                              <w:t>and collaborative</w:t>
                            </w:r>
                            <w:r w:rsidR="00295FFC">
                              <w:t>s</w:t>
                            </w:r>
                            <w:r w:rsidRPr="00751214">
                              <w:t xml:space="preserve"> to </w:t>
                            </w:r>
                            <w:r w:rsidR="00295FFC">
                              <w:t>support</w:t>
                            </w:r>
                            <w:r w:rsidRPr="00751214">
                              <w:t xml:space="preserve"> effective </w:t>
                            </w:r>
                            <w:r w:rsidRPr="00710BF3">
                              <w:t xml:space="preserve">collaboration. </w:t>
                            </w:r>
                            <w:r w:rsidR="00291377">
                              <w:t xml:space="preserve">Resources include: </w:t>
                            </w:r>
                            <w:hyperlink r:id="rId20" w:history="1">
                              <w:r w:rsidRPr="00122056">
                                <w:rPr>
                                  <w:rStyle w:val="Hyperlink"/>
                                </w:rPr>
                                <w:t>Building a Solid Foundation for Collaborative Efforts</w:t>
                              </w:r>
                            </w:hyperlink>
                            <w:r w:rsidR="00291377" w:rsidRPr="00917605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and</w:t>
                            </w:r>
                            <w:r w:rsidR="00291377" w:rsidRPr="00917605"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  <w:hyperlink r:id="rId21" w:history="1">
                              <w:r w:rsidRPr="00122056">
                                <w:rPr>
                                  <w:rStyle w:val="Hyperlink"/>
                                </w:rPr>
                                <w:t>Maintaining the Foundation of Collaborative Groups</w:t>
                              </w:r>
                            </w:hyperlink>
                          </w:p>
                          <w:p w14:paraId="6F9F6938" w14:textId="5225B781" w:rsidR="004E12A4" w:rsidRPr="00017AF2" w:rsidRDefault="00EE00EC" w:rsidP="004E12A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hyperlink r:id="rId22" w:history="1">
                              <w:r w:rsidR="004E12A4" w:rsidRPr="00017AF2">
                                <w:rPr>
                                  <w:rStyle w:val="Hyperlink"/>
                                </w:rPr>
                                <w:t>Collaboration at Arm's Length</w:t>
                              </w:r>
                            </w:hyperlink>
                            <w:r w:rsidR="004E12A4" w:rsidRPr="00017AF2">
                              <w:t xml:space="preserve"> (Butler, William</w:t>
                            </w:r>
                            <w:r w:rsidR="00295FFC">
                              <w:t xml:space="preserve"> 2013</w:t>
                            </w:r>
                            <w:r w:rsidR="004E12A4" w:rsidRPr="00017AF2">
                              <w:t>)</w:t>
                            </w:r>
                          </w:p>
                          <w:p w14:paraId="283F0447" w14:textId="41D312A4" w:rsidR="004E12A4" w:rsidRPr="00600A7E" w:rsidRDefault="004E12A4" w:rsidP="004E12A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contextualSpacing w:val="0"/>
                            </w:pPr>
                            <w:r w:rsidRPr="00600A7E">
                              <w:rPr>
                                <w:rFonts w:eastAsia="Times New Roman" w:cstheme="minorHAnsi"/>
                              </w:rPr>
                              <w:t>“</w:t>
                            </w:r>
                            <w:hyperlink r:id="rId23" w:history="1">
                              <w:r w:rsidRPr="00600A7E">
                                <w:rPr>
                                  <w:rStyle w:val="Hyperlink"/>
                                </w:rPr>
                                <w:t>Making and Breaking Trust in Forest Collaborative Groups</w:t>
                              </w:r>
                            </w:hyperlink>
                            <w:r w:rsidRPr="00600A7E">
                              <w:rPr>
                                <w:rFonts w:eastAsia="Times New Roman" w:cstheme="minorHAnsi"/>
                              </w:rPr>
                              <w:t xml:space="preserve">” </w:t>
                            </w:r>
                            <w:r w:rsidR="00295FFC">
                              <w:rPr>
                                <w:rFonts w:eastAsia="Times New Roman" w:cstheme="minorHAnsi"/>
                              </w:rPr>
                              <w:t>(</w:t>
                            </w:r>
                            <w:r w:rsidRPr="00600A7E">
                              <w:rPr>
                                <w:rFonts w:eastAsia="Times New Roman" w:cstheme="minorHAnsi"/>
                              </w:rPr>
                              <w:t>Davis et al 2018</w:t>
                            </w:r>
                            <w:r w:rsidR="00295FFC">
                              <w:rPr>
                                <w:rFonts w:eastAsia="Times New Roman" w:cstheme="minorHAnsi"/>
                              </w:rPr>
                              <w:t>)</w:t>
                            </w:r>
                            <w:r w:rsidRPr="00600A7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</w:p>
                          <w:p w14:paraId="1493E280" w14:textId="77777777" w:rsidR="004E12A4" w:rsidRPr="0002672C" w:rsidRDefault="004E12A4" w:rsidP="004E12A4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E252F5" id="Text Box 2" o:spid="_x0000_s1030" type="#_x0000_t202" style="width:533.2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" fillcolor="white [3201]" strokecolor="#4472c4 [3204]" strokeweight="1pt">
                <v:textbox>
                  <w:txbxContent>
                    <w:p w14:paraId="342C8B23" w14:textId="0A7E192D" w:rsidR="004E12A4" w:rsidRPr="00E22B90" w:rsidRDefault="004E12A4" w:rsidP="004E12A4">
                      <w:pPr>
                        <w:pStyle w:val="NoSpacing"/>
                        <w:numPr>
                          <w:ilvl w:val="0"/>
                          <w:numId w:val="22"/>
                        </w:numPr>
                      </w:pPr>
                      <w:r w:rsidRPr="00E22B90">
                        <w:t xml:space="preserve">The </w:t>
                      </w:r>
                      <w:hyperlink r:id="rId24" w:history="1">
                        <w:r w:rsidRPr="00E22B90">
                          <w:rPr>
                            <w:rStyle w:val="Hyperlink"/>
                          </w:rPr>
                          <w:t>CFLR Resource Library</w:t>
                        </w:r>
                      </w:hyperlink>
                      <w:r w:rsidRPr="00E22B90">
                        <w:t xml:space="preserve"> includes links to resources to support collaboration</w:t>
                      </w:r>
                    </w:p>
                    <w:p w14:paraId="2BE291C9" w14:textId="5899FB0D" w:rsidR="004E12A4" w:rsidRPr="00E00E2B" w:rsidRDefault="00EE00EC" w:rsidP="004E12A4">
                      <w:pPr>
                        <w:numPr>
                          <w:ilvl w:val="0"/>
                          <w:numId w:val="22"/>
                        </w:numPr>
                        <w:spacing w:after="0"/>
                        <w:contextualSpacing/>
                      </w:pPr>
                      <w:hyperlink r:id="rId25" w:history="1">
                        <w:r w:rsidR="00DE26D3" w:rsidRPr="00017AF2">
                          <w:rPr>
                            <w:rStyle w:val="Hyperlink"/>
                          </w:rPr>
                          <w:t>National Forest Foundation Practice of Collaboration Website</w:t>
                        </w:r>
                      </w:hyperlink>
                      <w:r w:rsidR="00DE26D3">
                        <w:rPr>
                          <w:rStyle w:val="Hyperlink"/>
                        </w:rPr>
                        <w:t xml:space="preserve"> </w:t>
                      </w:r>
                      <w:r w:rsidR="00D40FA5">
                        <w:t>with</w:t>
                      </w:r>
                      <w:r w:rsidR="004E12A4" w:rsidRPr="00017AF2">
                        <w:t xml:space="preserve"> peer learning sessions </w:t>
                      </w:r>
                      <w:r w:rsidR="00D40FA5">
                        <w:t>like</w:t>
                      </w:r>
                      <w:r w:rsidR="004E12A4" w:rsidRPr="00E00E2B">
                        <w:t xml:space="preserve"> </w:t>
                      </w:r>
                      <w:hyperlink r:id="rId26" w:history="1">
                        <w:proofErr w:type="spellStart"/>
                        <w:r w:rsidR="004E12A4" w:rsidRPr="00E00E2B">
                          <w:rPr>
                            <w:rStyle w:val="Hyperlink"/>
                          </w:rPr>
                          <w:t>FACAPhobia</w:t>
                        </w:r>
                        <w:proofErr w:type="spellEnd"/>
                      </w:hyperlink>
                    </w:p>
                    <w:p w14:paraId="426587C9" w14:textId="5471B100" w:rsidR="00291377" w:rsidRPr="00017AF2" w:rsidRDefault="004E12A4" w:rsidP="004E12A4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017AF2">
                        <w:t xml:space="preserve">Best practices on creating resilience through transition </w:t>
                      </w:r>
                      <w:r>
                        <w:t>include</w:t>
                      </w:r>
                      <w:r w:rsidRPr="00017AF2">
                        <w:t xml:space="preserve"> the USFS </w:t>
                      </w:r>
                      <w:hyperlink r:id="rId27" w:history="1">
                        <w:r w:rsidRPr="00D855E9">
                          <w:rPr>
                            <w:rStyle w:val="Hyperlink"/>
                          </w:rPr>
                          <w:t>Handover Memo</w:t>
                        </w:r>
                      </w:hyperlink>
                      <w:r w:rsidRPr="00017AF2">
                        <w:t xml:space="preserve"> </w:t>
                      </w:r>
                    </w:p>
                    <w:p w14:paraId="2F306BAC" w14:textId="17E0310F" w:rsidR="004E12A4" w:rsidRPr="001E0DA7" w:rsidRDefault="004E12A4" w:rsidP="00917605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751214">
                        <w:t xml:space="preserve">The </w:t>
                      </w:r>
                      <w:hyperlink r:id="rId28" w:history="1">
                        <w:r w:rsidRPr="00DE26D3">
                          <w:rPr>
                            <w:rStyle w:val="Hyperlink"/>
                          </w:rPr>
                          <w:t>National Collaboration Cadre</w:t>
                        </w:r>
                      </w:hyperlink>
                      <w:r w:rsidRPr="00751214">
                        <w:t xml:space="preserve"> is a network of people who work with National Forests</w:t>
                      </w:r>
                      <w:r w:rsidR="00D40FA5">
                        <w:t xml:space="preserve"> </w:t>
                      </w:r>
                      <w:r w:rsidRPr="00751214">
                        <w:t>and collaborative</w:t>
                      </w:r>
                      <w:r w:rsidR="00295FFC">
                        <w:t>s</w:t>
                      </w:r>
                      <w:r w:rsidRPr="00751214">
                        <w:t xml:space="preserve"> to </w:t>
                      </w:r>
                      <w:r w:rsidR="00295FFC">
                        <w:t>support</w:t>
                      </w:r>
                      <w:r w:rsidRPr="00751214">
                        <w:t xml:space="preserve"> effective </w:t>
                      </w:r>
                      <w:r w:rsidRPr="00710BF3">
                        <w:t xml:space="preserve">collaboration. </w:t>
                      </w:r>
                      <w:r w:rsidR="00291377">
                        <w:t xml:space="preserve">Resources include: </w:t>
                      </w:r>
                      <w:hyperlink r:id="rId29" w:history="1">
                        <w:r w:rsidRPr="00122056">
                          <w:rPr>
                            <w:rStyle w:val="Hyperlink"/>
                          </w:rPr>
                          <w:t>Building a Solid Foundation for Collaborative Efforts</w:t>
                        </w:r>
                      </w:hyperlink>
                      <w:r w:rsidR="00291377" w:rsidRPr="00917605">
                        <w:rPr>
                          <w:rStyle w:val="Hyperlink"/>
                          <w:color w:val="auto"/>
                          <w:u w:val="none"/>
                        </w:rPr>
                        <w:t xml:space="preserve"> and</w:t>
                      </w:r>
                      <w:r w:rsidR="00291377" w:rsidRPr="00917605"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  <w:hyperlink r:id="rId30" w:history="1">
                        <w:r w:rsidRPr="00122056">
                          <w:rPr>
                            <w:rStyle w:val="Hyperlink"/>
                          </w:rPr>
                          <w:t>Maintaining the Foundation of Collaborative Groups</w:t>
                        </w:r>
                      </w:hyperlink>
                    </w:p>
                    <w:p w14:paraId="6F9F6938" w14:textId="5225B781" w:rsidR="004E12A4" w:rsidRPr="00017AF2" w:rsidRDefault="00EE00EC" w:rsidP="004E12A4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hyperlink r:id="rId31" w:history="1">
                        <w:r w:rsidR="004E12A4" w:rsidRPr="00017AF2">
                          <w:rPr>
                            <w:rStyle w:val="Hyperlink"/>
                          </w:rPr>
                          <w:t>Collaboration at Arm's Length</w:t>
                        </w:r>
                      </w:hyperlink>
                      <w:r w:rsidR="004E12A4" w:rsidRPr="00017AF2">
                        <w:t xml:space="preserve"> (Butler, William</w:t>
                      </w:r>
                      <w:r w:rsidR="00295FFC">
                        <w:t xml:space="preserve"> 2013</w:t>
                      </w:r>
                      <w:r w:rsidR="004E12A4" w:rsidRPr="00017AF2">
                        <w:t>)</w:t>
                      </w:r>
                    </w:p>
                    <w:p w14:paraId="283F0447" w14:textId="41D312A4" w:rsidR="004E12A4" w:rsidRPr="00600A7E" w:rsidRDefault="004E12A4" w:rsidP="004E12A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contextualSpacing w:val="0"/>
                      </w:pPr>
                      <w:r w:rsidRPr="00600A7E">
                        <w:rPr>
                          <w:rFonts w:eastAsia="Times New Roman" w:cstheme="minorHAnsi"/>
                        </w:rPr>
                        <w:t>“</w:t>
                      </w:r>
                      <w:hyperlink r:id="rId32" w:history="1">
                        <w:r w:rsidRPr="00600A7E">
                          <w:rPr>
                            <w:rStyle w:val="Hyperlink"/>
                          </w:rPr>
                          <w:t>Making and Breaking Trust in Forest Collaborative Groups</w:t>
                        </w:r>
                      </w:hyperlink>
                      <w:r w:rsidRPr="00600A7E">
                        <w:rPr>
                          <w:rFonts w:eastAsia="Times New Roman" w:cstheme="minorHAnsi"/>
                        </w:rPr>
                        <w:t xml:space="preserve">” </w:t>
                      </w:r>
                      <w:r w:rsidR="00295FFC">
                        <w:rPr>
                          <w:rFonts w:eastAsia="Times New Roman" w:cstheme="minorHAnsi"/>
                        </w:rPr>
                        <w:t>(</w:t>
                      </w:r>
                      <w:r w:rsidRPr="00600A7E">
                        <w:rPr>
                          <w:rFonts w:eastAsia="Times New Roman" w:cstheme="minorHAnsi"/>
                        </w:rPr>
                        <w:t>Davis et al 2018</w:t>
                      </w:r>
                      <w:r w:rsidR="00295FFC">
                        <w:rPr>
                          <w:rFonts w:eastAsia="Times New Roman" w:cstheme="minorHAnsi"/>
                        </w:rPr>
                        <w:t>)</w:t>
                      </w:r>
                      <w:r w:rsidRPr="00600A7E">
                        <w:rPr>
                          <w:rFonts w:eastAsia="Times New Roman" w:cstheme="minorHAnsi"/>
                        </w:rPr>
                        <w:t xml:space="preserve"> </w:t>
                      </w:r>
                    </w:p>
                    <w:p w14:paraId="1493E280" w14:textId="77777777" w:rsidR="004E12A4" w:rsidRPr="0002672C" w:rsidRDefault="004E12A4" w:rsidP="004E12A4">
                      <w:pPr>
                        <w:pStyle w:val="NoSpacing"/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632DF4" w14:textId="77777777" w:rsidR="00D40FA5" w:rsidRPr="00D40FA5" w:rsidRDefault="00D40FA5" w:rsidP="00647303">
      <w:pPr>
        <w:pStyle w:val="Heading2"/>
        <w:rPr>
          <w:b/>
          <w:bCs/>
          <w:sz w:val="16"/>
          <w:szCs w:val="16"/>
        </w:rPr>
      </w:pPr>
      <w:bookmarkStart w:id="19" w:name="_Next_Steps:"/>
      <w:bookmarkStart w:id="20" w:name="_Toc48740495"/>
      <w:bookmarkEnd w:id="5"/>
      <w:bookmarkEnd w:id="19"/>
    </w:p>
    <w:p w14:paraId="0DD02BCF" w14:textId="163E3AD1" w:rsidR="002A3471" w:rsidRPr="00647303" w:rsidRDefault="002A3471" w:rsidP="00647303">
      <w:pPr>
        <w:pStyle w:val="Heading2"/>
        <w:rPr>
          <w:b/>
          <w:bCs/>
        </w:rPr>
      </w:pPr>
      <w:r w:rsidRPr="00647303">
        <w:rPr>
          <w:b/>
          <w:bCs/>
        </w:rPr>
        <w:t>Next Steps:</w:t>
      </w:r>
      <w:bookmarkEnd w:id="20"/>
    </w:p>
    <w:p w14:paraId="5DD59A28" w14:textId="154E5B7A" w:rsidR="00A651A1" w:rsidRPr="00D40FA5" w:rsidRDefault="002A3471" w:rsidP="00D40FA5">
      <w:pPr>
        <w:rPr>
          <w:rFonts w:ascii="Calibri" w:hAnsi="Calibri" w:cs="Calibri"/>
          <w:sz w:val="24"/>
          <w:szCs w:val="24"/>
        </w:rPr>
      </w:pPr>
      <w:r w:rsidRPr="00D40FA5">
        <w:rPr>
          <w:rFonts w:ascii="Calibri" w:eastAsia="Times New Roman" w:hAnsi="Calibri" w:cs="Calibri"/>
          <w:sz w:val="24"/>
          <w:szCs w:val="24"/>
        </w:rPr>
        <w:t xml:space="preserve">CFLRP offers valuable insights into effective and meaningful collaboration over time. </w:t>
      </w:r>
      <w:r w:rsidR="00B82135" w:rsidRPr="00D40FA5">
        <w:rPr>
          <w:rFonts w:ascii="Calibri" w:hAnsi="Calibri" w:cs="Calibri"/>
          <w:sz w:val="24"/>
          <w:szCs w:val="24"/>
        </w:rPr>
        <w:t>I</w:t>
      </w:r>
      <w:r w:rsidRPr="00D40FA5">
        <w:rPr>
          <w:rFonts w:ascii="Calibri" w:hAnsi="Calibri" w:cs="Calibri"/>
          <w:sz w:val="24"/>
          <w:szCs w:val="24"/>
        </w:rPr>
        <w:t xml:space="preserve">mportant barriers remain to supporting collaboration across units and individuals. </w:t>
      </w:r>
      <w:bookmarkEnd w:id="6"/>
      <w:r w:rsidR="00D40FA5" w:rsidRPr="00D40FA5">
        <w:rPr>
          <w:rFonts w:ascii="Calibri" w:hAnsi="Calibri" w:cs="Calibri"/>
          <w:sz w:val="24"/>
          <w:szCs w:val="24"/>
        </w:rPr>
        <w:t>Program staff are assessing ongoing challenges, identifying opportunities, and carrying out next steps with colleagues and partners.</w:t>
      </w:r>
    </w:p>
    <w:sectPr w:rsidR="00A651A1" w:rsidRPr="00D40FA5" w:rsidSect="00647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F549E" w14:textId="77777777" w:rsidR="00EE00EC" w:rsidRDefault="00EE00EC" w:rsidP="00BB0C7E">
      <w:pPr>
        <w:spacing w:after="0"/>
      </w:pPr>
      <w:r>
        <w:separator/>
      </w:r>
    </w:p>
  </w:endnote>
  <w:endnote w:type="continuationSeparator" w:id="0">
    <w:p w14:paraId="72EFC740" w14:textId="77777777" w:rsidR="00EE00EC" w:rsidRDefault="00EE00EC" w:rsidP="00BB0C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79FF2" w14:textId="77777777" w:rsidR="00EE00EC" w:rsidRDefault="00EE00EC" w:rsidP="00BB0C7E">
      <w:pPr>
        <w:spacing w:after="0"/>
      </w:pPr>
      <w:r>
        <w:separator/>
      </w:r>
    </w:p>
  </w:footnote>
  <w:footnote w:type="continuationSeparator" w:id="0">
    <w:p w14:paraId="3AA33CE3" w14:textId="77777777" w:rsidR="00EE00EC" w:rsidRDefault="00EE00EC" w:rsidP="00BB0C7E">
      <w:pPr>
        <w:spacing w:after="0"/>
      </w:pPr>
      <w:r>
        <w:continuationSeparator/>
      </w:r>
    </w:p>
  </w:footnote>
  <w:footnote w:id="1">
    <w:p w14:paraId="09326642" w14:textId="5DAC5F33" w:rsidR="00041F67" w:rsidRDefault="00041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6BB6">
        <w:t xml:space="preserve">National Forest Foundation CFLRP 2020 Collaboration Indicator Survey Results - </w:t>
      </w:r>
      <w:hyperlink r:id="rId1" w:history="1">
        <w:r w:rsidRPr="00A16BB6">
          <w:rPr>
            <w:rStyle w:val="Hyperlink"/>
          </w:rPr>
          <w:t>https://www.nationalforests.org/assets/pdfs/Collaboration-Indicator-Survey-Results-2020-publish.pdf</w:t>
        </w:r>
      </w:hyperlink>
    </w:p>
  </w:footnote>
  <w:footnote w:id="2">
    <w:p w14:paraId="66287EFC" w14:textId="77777777" w:rsidR="00BC7279" w:rsidRPr="002A4A6A" w:rsidRDefault="00BC7279" w:rsidP="00BC7279">
      <w:pPr>
        <w:pStyle w:val="FootnoteText"/>
      </w:pPr>
      <w:r w:rsidRPr="002A4A6A">
        <w:rPr>
          <w:rStyle w:val="FootnoteReference"/>
        </w:rPr>
        <w:footnoteRef/>
      </w:r>
      <w:r w:rsidRPr="002A4A6A">
        <w:t xml:space="preserve"> 2019 Annual </w:t>
      </w:r>
      <w:r>
        <w:t>R</w:t>
      </w:r>
      <w:r w:rsidRPr="002A4A6A">
        <w:t xml:space="preserve">eports - </w:t>
      </w:r>
      <w:hyperlink r:id="rId2" w:history="1">
        <w:r w:rsidRPr="002A4A6A">
          <w:rPr>
            <w:rStyle w:val="Hyperlink"/>
          </w:rPr>
          <w:t>https://www.fs.fed.us/restoration/CFLRP/results.shtml</w:t>
        </w:r>
      </w:hyperlink>
      <w:r w:rsidRPr="002A4A6A">
        <w:t xml:space="preserve"> </w:t>
      </w:r>
    </w:p>
  </w:footnote>
  <w:footnote w:id="3">
    <w:p w14:paraId="04466CF7" w14:textId="1536A206" w:rsidR="00041F67" w:rsidRDefault="00041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6BB6">
        <w:t xml:space="preserve">National Forest Foundation CFLRP 2020 Collaboration Indicator Survey Results </w:t>
      </w:r>
    </w:p>
  </w:footnote>
  <w:footnote w:id="4">
    <w:p w14:paraId="6E2D12C7" w14:textId="2A1467C4" w:rsidR="00041F67" w:rsidRDefault="00041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4A6A">
        <w:t>“Strategies for Success Under Forest Service Restoration Authorities”</w:t>
      </w:r>
      <w:r w:rsidR="00B82135">
        <w:t xml:space="preserve"> </w:t>
      </w:r>
      <w:hyperlink r:id="rId3" w:history="1">
        <w:r w:rsidR="00B82135" w:rsidRPr="00133659">
          <w:rPr>
            <w:rStyle w:val="Hyperlink"/>
          </w:rPr>
          <w:t>https://ewp.uoregon.edu/sites/ewp.uoregon.edu/files/WP_81.pdf</w:t>
        </w:r>
      </w:hyperlink>
    </w:p>
  </w:footnote>
  <w:footnote w:id="5">
    <w:p w14:paraId="288454D6" w14:textId="6BF271C8" w:rsidR="00041F67" w:rsidRDefault="00041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6BB6">
        <w:t xml:space="preserve">National Forest Foundation CFLRP 2020 Collaboration Indicator Survey Results </w:t>
      </w:r>
    </w:p>
  </w:footnote>
  <w:footnote w:id="6">
    <w:p w14:paraId="5F2ED018" w14:textId="2C1CAEB5" w:rsidR="00041F67" w:rsidRDefault="00041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4A6A">
        <w:t xml:space="preserve">“Strategies for Success Under Forest Service Restoration Authorities” </w:t>
      </w:r>
    </w:p>
  </w:footnote>
  <w:footnote w:id="7">
    <w:p w14:paraId="65CB07BF" w14:textId="203A7E65" w:rsidR="00295FFC" w:rsidRDefault="00295FFC">
      <w:pPr>
        <w:pStyle w:val="FootnoteText"/>
      </w:pPr>
      <w:r>
        <w:rPr>
          <w:rStyle w:val="FootnoteReference"/>
        </w:rPr>
        <w:footnoteRef/>
      </w:r>
      <w:r w:rsidRPr="00A16BB6">
        <w:t xml:space="preserve">National Forest Foundation CFLRP 2020 Collaboration Indicator Survey Results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6B3"/>
    <w:multiLevelType w:val="hybridMultilevel"/>
    <w:tmpl w:val="AE3CDD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7E3780"/>
    <w:multiLevelType w:val="hybridMultilevel"/>
    <w:tmpl w:val="ACEA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19CB"/>
    <w:multiLevelType w:val="hybridMultilevel"/>
    <w:tmpl w:val="51F22F82"/>
    <w:lvl w:ilvl="0" w:tplc="8F9E0B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1BFB"/>
    <w:multiLevelType w:val="hybridMultilevel"/>
    <w:tmpl w:val="F36E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31E1A"/>
    <w:multiLevelType w:val="hybridMultilevel"/>
    <w:tmpl w:val="0638D6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281C06"/>
    <w:multiLevelType w:val="hybridMultilevel"/>
    <w:tmpl w:val="0698581C"/>
    <w:lvl w:ilvl="0" w:tplc="719CEE2E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AB2"/>
    <w:multiLevelType w:val="hybridMultilevel"/>
    <w:tmpl w:val="72D00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37A62"/>
    <w:multiLevelType w:val="hybridMultilevel"/>
    <w:tmpl w:val="154EB3EC"/>
    <w:lvl w:ilvl="0" w:tplc="6D6C28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05AF"/>
    <w:multiLevelType w:val="hybridMultilevel"/>
    <w:tmpl w:val="6984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7664B"/>
    <w:multiLevelType w:val="hybridMultilevel"/>
    <w:tmpl w:val="127EA8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5418E"/>
    <w:multiLevelType w:val="hybridMultilevel"/>
    <w:tmpl w:val="719E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8099A"/>
    <w:multiLevelType w:val="hybridMultilevel"/>
    <w:tmpl w:val="36FC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625F3"/>
    <w:multiLevelType w:val="hybridMultilevel"/>
    <w:tmpl w:val="0CC8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D68D9"/>
    <w:multiLevelType w:val="hybridMultilevel"/>
    <w:tmpl w:val="3C5C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E0568"/>
    <w:multiLevelType w:val="hybridMultilevel"/>
    <w:tmpl w:val="03EE2578"/>
    <w:lvl w:ilvl="0" w:tplc="9AF8B7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B29A9"/>
    <w:multiLevelType w:val="hybridMultilevel"/>
    <w:tmpl w:val="09BC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A568B"/>
    <w:multiLevelType w:val="hybridMultilevel"/>
    <w:tmpl w:val="9D0E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25267"/>
    <w:multiLevelType w:val="hybridMultilevel"/>
    <w:tmpl w:val="EDF8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E6AD2"/>
    <w:multiLevelType w:val="hybridMultilevel"/>
    <w:tmpl w:val="AE0E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36A41"/>
    <w:multiLevelType w:val="hybridMultilevel"/>
    <w:tmpl w:val="0C02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91447"/>
    <w:multiLevelType w:val="hybridMultilevel"/>
    <w:tmpl w:val="3EB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54F82"/>
    <w:multiLevelType w:val="hybridMultilevel"/>
    <w:tmpl w:val="092A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35BE3"/>
    <w:multiLevelType w:val="hybridMultilevel"/>
    <w:tmpl w:val="B5BA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10"/>
  </w:num>
  <w:num w:numId="5">
    <w:abstractNumId w:val="0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5"/>
  </w:num>
  <w:num w:numId="11">
    <w:abstractNumId w:val="4"/>
  </w:num>
  <w:num w:numId="12">
    <w:abstractNumId w:val="22"/>
  </w:num>
  <w:num w:numId="13">
    <w:abstractNumId w:val="1"/>
  </w:num>
  <w:num w:numId="14">
    <w:abstractNumId w:val="12"/>
  </w:num>
  <w:num w:numId="15">
    <w:abstractNumId w:val="21"/>
  </w:num>
  <w:num w:numId="16">
    <w:abstractNumId w:val="19"/>
  </w:num>
  <w:num w:numId="17">
    <w:abstractNumId w:val="13"/>
  </w:num>
  <w:num w:numId="18">
    <w:abstractNumId w:val="9"/>
  </w:num>
  <w:num w:numId="19">
    <w:abstractNumId w:val="11"/>
  </w:num>
  <w:num w:numId="20">
    <w:abstractNumId w:val="2"/>
  </w:num>
  <w:num w:numId="21">
    <w:abstractNumId w:val="7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48"/>
    <w:rsid w:val="000120AD"/>
    <w:rsid w:val="0002246D"/>
    <w:rsid w:val="00041F67"/>
    <w:rsid w:val="0005524C"/>
    <w:rsid w:val="0007617C"/>
    <w:rsid w:val="000B27E7"/>
    <w:rsid w:val="00102FD4"/>
    <w:rsid w:val="001277CD"/>
    <w:rsid w:val="00213E07"/>
    <w:rsid w:val="00254A6D"/>
    <w:rsid w:val="00262550"/>
    <w:rsid w:val="00291377"/>
    <w:rsid w:val="00295FFC"/>
    <w:rsid w:val="002978A4"/>
    <w:rsid w:val="002A3471"/>
    <w:rsid w:val="002C38B3"/>
    <w:rsid w:val="002C6CAE"/>
    <w:rsid w:val="00312577"/>
    <w:rsid w:val="00420755"/>
    <w:rsid w:val="00483AC1"/>
    <w:rsid w:val="004B4D35"/>
    <w:rsid w:val="004E12A4"/>
    <w:rsid w:val="00597B34"/>
    <w:rsid w:val="005A0F56"/>
    <w:rsid w:val="00620389"/>
    <w:rsid w:val="00647303"/>
    <w:rsid w:val="007179D5"/>
    <w:rsid w:val="007C624D"/>
    <w:rsid w:val="007F1439"/>
    <w:rsid w:val="0087127B"/>
    <w:rsid w:val="00917605"/>
    <w:rsid w:val="009D5B1F"/>
    <w:rsid w:val="009E583A"/>
    <w:rsid w:val="00A17688"/>
    <w:rsid w:val="00A630BB"/>
    <w:rsid w:val="00A651A1"/>
    <w:rsid w:val="00B3262C"/>
    <w:rsid w:val="00B82135"/>
    <w:rsid w:val="00B84E50"/>
    <w:rsid w:val="00B85203"/>
    <w:rsid w:val="00BB0C7E"/>
    <w:rsid w:val="00BB57FB"/>
    <w:rsid w:val="00BC7279"/>
    <w:rsid w:val="00C1305C"/>
    <w:rsid w:val="00C67AF9"/>
    <w:rsid w:val="00C9521D"/>
    <w:rsid w:val="00CE6E1E"/>
    <w:rsid w:val="00D40FA5"/>
    <w:rsid w:val="00D855E9"/>
    <w:rsid w:val="00DE26D3"/>
    <w:rsid w:val="00E22B90"/>
    <w:rsid w:val="00E77D11"/>
    <w:rsid w:val="00EE00EC"/>
    <w:rsid w:val="00EF4891"/>
    <w:rsid w:val="00F06D48"/>
    <w:rsid w:val="00F840CD"/>
    <w:rsid w:val="00FD50E5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FBAF"/>
  <w15:chartTrackingRefBased/>
  <w15:docId w15:val="{8DE7020B-B263-4086-AF3B-C9352500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83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9D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D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3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Paragraphs"/>
    <w:basedOn w:val="Normal"/>
    <w:link w:val="ListParagraphChar"/>
    <w:uiPriority w:val="34"/>
    <w:qFormat/>
    <w:rsid w:val="00B85203"/>
    <w:pPr>
      <w:spacing w:after="0"/>
      <w:ind w:left="720"/>
      <w:contextualSpacing/>
    </w:pPr>
  </w:style>
  <w:style w:type="character" w:customStyle="1" w:styleId="ListParagraphChar">
    <w:name w:val="List Paragraph Char"/>
    <w:aliases w:val="Bullet Paragraphs Char"/>
    <w:basedOn w:val="DefaultParagraphFont"/>
    <w:link w:val="ListParagraph"/>
    <w:uiPriority w:val="34"/>
    <w:locked/>
    <w:rsid w:val="00B85203"/>
  </w:style>
  <w:style w:type="character" w:styleId="Hyperlink">
    <w:name w:val="Hyperlink"/>
    <w:basedOn w:val="DefaultParagraphFont"/>
    <w:uiPriority w:val="99"/>
    <w:unhideWhenUsed/>
    <w:rsid w:val="00BB0C7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0C7E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0C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B0C7E"/>
    <w:rPr>
      <w:vertAlign w:val="superscript"/>
    </w:rPr>
  </w:style>
  <w:style w:type="character" w:customStyle="1" w:styleId="field-content">
    <w:name w:val="field-content"/>
    <w:basedOn w:val="DefaultParagraphFont"/>
    <w:rsid w:val="00BB0C7E"/>
  </w:style>
  <w:style w:type="character" w:styleId="UnresolvedMention">
    <w:name w:val="Unresolved Mention"/>
    <w:basedOn w:val="DefaultParagraphFont"/>
    <w:uiPriority w:val="99"/>
    <w:semiHidden/>
    <w:unhideWhenUsed/>
    <w:rsid w:val="009E58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E5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27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7CD"/>
    <w:pPr>
      <w:spacing w:after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7CD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17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7179D5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7179D5"/>
  </w:style>
  <w:style w:type="character" w:customStyle="1" w:styleId="Heading3Char">
    <w:name w:val="Heading 3 Char"/>
    <w:basedOn w:val="DefaultParagraphFont"/>
    <w:link w:val="Heading3"/>
    <w:uiPriority w:val="9"/>
    <w:rsid w:val="002A34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2A347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2A3471"/>
    <w:rPr>
      <w:sz w:val="20"/>
      <w:szCs w:val="20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2A3471"/>
    <w:pPr>
      <w:spacing w:after="0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2A3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279"/>
    <w:pPr>
      <w:spacing w:after="8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2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7279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26D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AC1"/>
    <w:pPr>
      <w:numPr>
        <w:ilvl w:val="1"/>
      </w:numPr>
      <w:spacing w:after="160" w:line="259" w:lineRule="auto"/>
      <w:ind w:left="720"/>
    </w:pPr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83AC1"/>
    <w:rPr>
      <w:rFonts w:eastAsiaTheme="minorEastAsia"/>
      <w:color w:val="F2F2F2" w:themeColor="background1" w:themeShade="F2"/>
      <w:spacing w:val="1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fs.usda.gov/detailfull/prc/tools-techniques/collaboration/?cid=STELPRDB5155747&amp;width=full" TargetMode="External"/><Relationship Id="rId26" Type="http://schemas.openxmlformats.org/officeDocument/2006/relationships/hyperlink" Target="https://nationalforestfoundation.adobeconnect.com/_a961852781/p7mrot5kdl5/?proto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s.fed.us/emc/nfma/collaborative_processes/documents/MaintainingTheFoundatnOfCollabGrps-508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luemountainsforestpartners.org/work/zones-of-agreement/" TargetMode="External"/><Relationship Id="rId17" Type="http://schemas.openxmlformats.org/officeDocument/2006/relationships/hyperlink" Target="https://nationalforestfoundation.adobeconnect.com/_a961852781/p7mrot5kdl5/?proto=true" TargetMode="External"/><Relationship Id="rId25" Type="http://schemas.openxmlformats.org/officeDocument/2006/relationships/hyperlink" Target="https://www.nationalforests.org/collaboration-resources/learning-topics/collaboratio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ationalforests.org/collaboration-resources/learning-topics/collaboration" TargetMode="External"/><Relationship Id="rId20" Type="http://schemas.openxmlformats.org/officeDocument/2006/relationships/hyperlink" Target="https://www.fs.fed.us/emc/nfma/collaborative_processes/documents/BldgASolidFoundationForCollabEfforts-508.pdf" TargetMode="External"/><Relationship Id="rId29" Type="http://schemas.openxmlformats.org/officeDocument/2006/relationships/hyperlink" Target="https://www.fs.fed.us/emc/nfma/collaborative_processes/documents/BldgASolidFoundationForCollabEfforts-50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s.fed.us/restoration/documents/cflrp/CFLRP_LessonsLearnedCompiled20201016.pdf" TargetMode="External"/><Relationship Id="rId24" Type="http://schemas.openxmlformats.org/officeDocument/2006/relationships/hyperlink" Target="https://www.fs.fed.us/restoration/CFLRP/resource-library.php" TargetMode="External"/><Relationship Id="rId32" Type="http://schemas.openxmlformats.org/officeDocument/2006/relationships/hyperlink" Target="https://www.fs.usda.gov/treesearch/pubs/570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s.fed.us/restoration/CFLRP/resource-library.php" TargetMode="External"/><Relationship Id="rId23" Type="http://schemas.openxmlformats.org/officeDocument/2006/relationships/hyperlink" Target="https://www.fs.usda.gov/treesearch/pubs/57068" TargetMode="External"/><Relationship Id="rId28" Type="http://schemas.openxmlformats.org/officeDocument/2006/relationships/hyperlink" Target="https://www.fs.fed.us/emc/nfma/collaborative_processes/default.htm" TargetMode="External"/><Relationship Id="rId10" Type="http://schemas.openxmlformats.org/officeDocument/2006/relationships/hyperlink" Target="https://www.fs.fed.us/restoration/documents/cflrp/CFLRP_LessonsLearnedCompiled20201016.pdf" TargetMode="External"/><Relationship Id="rId19" Type="http://schemas.openxmlformats.org/officeDocument/2006/relationships/hyperlink" Target="https://www.fs.fed.us/emc/nfma/collaborative_processes/default.htm" TargetMode="External"/><Relationship Id="rId31" Type="http://schemas.openxmlformats.org/officeDocument/2006/relationships/hyperlink" Target="http://diginole.lib.fsu.edu/islandora/object/fsu%3A207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.fed.us/restoration/documents/cflrp/CFLRP_LessonsLearnedCompiled20201016.pdf" TargetMode="External"/><Relationship Id="rId14" Type="http://schemas.openxmlformats.org/officeDocument/2006/relationships/hyperlink" Target="https://www.fs.fed.us/restoration/documents/cflrp/CFLRP_LessonsLearnedCompiled20201016.pdf" TargetMode="External"/><Relationship Id="rId22" Type="http://schemas.openxmlformats.org/officeDocument/2006/relationships/hyperlink" Target="http://diginole.lib.fsu.edu/islandora/object/fsu%3A207228" TargetMode="External"/><Relationship Id="rId27" Type="http://schemas.openxmlformats.org/officeDocument/2006/relationships/hyperlink" Target="https://www.fs.usda.gov/detailfull/prc/tools-techniques/collaboration/?cid=STELPRDB5155747&amp;width=full" TargetMode="External"/><Relationship Id="rId30" Type="http://schemas.openxmlformats.org/officeDocument/2006/relationships/hyperlink" Target="https://www.fs.fed.us/emc/nfma/collaborative_processes/documents/MaintainingTheFoundatnOfCollabGrps-508.pdf" TargetMode="External"/><Relationship Id="rId8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wp.uoregon.edu/sites/ewp.uoregon.edu/files/WP_81.pdf" TargetMode="External"/><Relationship Id="rId2" Type="http://schemas.openxmlformats.org/officeDocument/2006/relationships/hyperlink" Target="https://www.fs.fed.us/restoration/CFLRP/results.shtml" TargetMode="External"/><Relationship Id="rId1" Type="http://schemas.openxmlformats.org/officeDocument/2006/relationships/hyperlink" Target="https://www.nationalforests.org/assets/pdfs/Collaboration-Indicator-Survey-Results-2020-pub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E0C5-DEF7-4474-B794-512D4E4C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CFLRP 10 Year Results and Lessons Learned Summary Series - The Collaborative Approach</dc:title>
  <dc:subject/>
  <dc:creator>Logan, Brian -FS</dc:creator>
  <cp:keywords/>
  <dc:description/>
  <cp:lastModifiedBy>Bancroft, Kris -FS</cp:lastModifiedBy>
  <cp:revision>2</cp:revision>
  <dcterms:created xsi:type="dcterms:W3CDTF">2020-12-07T19:21:00Z</dcterms:created>
  <dcterms:modified xsi:type="dcterms:W3CDTF">2020-12-07T19:21:00Z</dcterms:modified>
</cp:coreProperties>
</file>