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3557A" w14:textId="1E2A6D55" w:rsidR="00483AC1" w:rsidRDefault="006D518A" w:rsidP="00647303">
      <w:pPr>
        <w:pStyle w:val="Heading2"/>
        <w:jc w:val="center"/>
        <w:rPr>
          <w:b/>
          <w:bCs/>
        </w:rPr>
      </w:pPr>
      <w:r>
        <w:rPr>
          <w:noProof/>
        </w:rPr>
        <mc:AlternateContent>
          <mc:Choice Requires="wps">
            <w:drawing>
              <wp:anchor distT="0" distB="0" distL="114300" distR="114300" simplePos="0" relativeHeight="251660288" behindDoc="0" locked="0" layoutInCell="1" allowOverlap="1" wp14:anchorId="5ECDDDAC" wp14:editId="161C1132">
                <wp:simplePos x="0" y="0"/>
                <wp:positionH relativeFrom="column">
                  <wp:posOffset>-337820</wp:posOffset>
                </wp:positionH>
                <wp:positionV relativeFrom="paragraph">
                  <wp:posOffset>-28575</wp:posOffset>
                </wp:positionV>
                <wp:extent cx="2933065" cy="842010"/>
                <wp:effectExtent l="0" t="0" r="635" b="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33065" cy="842010"/>
                        </a:xfrm>
                        <a:prstGeom prst="rect">
                          <a:avLst/>
                        </a:prstGeom>
                        <a:solidFill>
                          <a:schemeClr val="bg1">
                            <a:lumMod val="95000"/>
                          </a:schemeClr>
                        </a:solidFill>
                        <a:ln w="6350">
                          <a:noFill/>
                        </a:ln>
                      </wps:spPr>
                      <wps:txbx>
                        <w:txbxContent>
                          <w:p w14:paraId="304452BA" w14:textId="28C6550D" w:rsidR="00483AC1" w:rsidRPr="004A3982" w:rsidRDefault="00483AC1" w:rsidP="00483AC1">
                            <w:pPr>
                              <w:pStyle w:val="Heading1"/>
                            </w:pPr>
                            <w:r w:rsidRPr="004A3982">
                              <w:t>CFLRP 10 Year Results and Lessons Learned Summary Series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CDDDAC" id="_x0000_t202" coordsize="21600,21600" o:spt="202" path="m,l,21600r21600,l21600,xe">
                <v:stroke joinstyle="miter"/>
                <v:path gradientshapeok="t" o:connecttype="rect"/>
              </v:shapetype>
              <v:shape id="Text Box 7" o:spid="_x0000_s1026" type="#_x0000_t202" style="position:absolute;left:0;text-align:left;margin-left:-26.6pt;margin-top:-2.25pt;width:230.95pt;height:6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" fillcolor="#f2f2f2 [3052]" stroked="f" strokeweight=".5pt">
                <v:textbox>
                  <w:txbxContent>
                    <w:p w14:paraId="304452BA" w14:textId="28C6550D" w:rsidR="00483AC1" w:rsidRPr="004A3982" w:rsidRDefault="00483AC1" w:rsidP="00483AC1">
                      <w:pPr>
                        <w:pStyle w:val="Heading1"/>
                      </w:pPr>
                      <w:r w:rsidRPr="004A3982">
                        <w:t>CFLRP 10 Year Results and Lessons Learned Summary Series</w:t>
                      </w:r>
                    </w:p>
                  </w:txbxContent>
                </v:textbox>
              </v:shape>
            </w:pict>
          </mc:Fallback>
        </mc:AlternateContent>
      </w:r>
      <w:r>
        <w:rPr>
          <w:b/>
          <w:bCs/>
          <w:noProof/>
        </w:rPr>
        <w:drawing>
          <wp:anchor distT="0" distB="0" distL="114300" distR="114300" simplePos="0" relativeHeight="251658240" behindDoc="1" locked="0" layoutInCell="1" allowOverlap="1" wp14:anchorId="0E8C05FA" wp14:editId="000057D7">
            <wp:simplePos x="0" y="0"/>
            <wp:positionH relativeFrom="margin">
              <wp:posOffset>782320</wp:posOffset>
            </wp:positionH>
            <wp:positionV relativeFrom="paragraph">
              <wp:posOffset>-266700</wp:posOffset>
            </wp:positionV>
            <wp:extent cx="5450840" cy="4090035"/>
            <wp:effectExtent l="0" t="0" r="0" b="571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schutes Collaborative Forest OR.jpg"/>
                    <pic:cNvPicPr/>
                  </pic:nvPicPr>
                  <pic:blipFill>
                    <a:blip r:embed="rId8">
                      <a:extLst>
                        <a:ext uri="{28A0092B-C50C-407E-A947-70E740481C1C}">
                          <a14:useLocalDpi xmlns:a14="http://schemas.microsoft.com/office/drawing/2010/main" val="0"/>
                        </a:ext>
                      </a:extLst>
                    </a:blip>
                    <a:stretch>
                      <a:fillRect/>
                    </a:stretch>
                  </pic:blipFill>
                  <pic:spPr>
                    <a:xfrm>
                      <a:off x="0" y="0"/>
                      <a:ext cx="5450840" cy="4090035"/>
                    </a:xfrm>
                    <a:prstGeom prst="rect">
                      <a:avLst/>
                    </a:prstGeom>
                  </pic:spPr>
                </pic:pic>
              </a:graphicData>
            </a:graphic>
            <wp14:sizeRelH relativeFrom="page">
              <wp14:pctWidth>0</wp14:pctWidth>
            </wp14:sizeRelH>
            <wp14:sizeRelV relativeFrom="page">
              <wp14:pctHeight>0</wp14:pctHeight>
            </wp14:sizeRelV>
          </wp:anchor>
        </w:drawing>
      </w:r>
      <w:r w:rsidRPr="00C9521D">
        <w:rPr>
          <w:b/>
          <w:bCs/>
          <w:noProof/>
        </w:rPr>
        <mc:AlternateContent>
          <mc:Choice Requires="wps">
            <w:drawing>
              <wp:anchor distT="45720" distB="45720" distL="114300" distR="114300" simplePos="0" relativeHeight="251665408" behindDoc="0" locked="0" layoutInCell="1" allowOverlap="1" wp14:anchorId="0BAC3773" wp14:editId="283670EE">
                <wp:simplePos x="0" y="0"/>
                <wp:positionH relativeFrom="column">
                  <wp:posOffset>3667125</wp:posOffset>
                </wp:positionH>
                <wp:positionV relativeFrom="paragraph">
                  <wp:posOffset>3570605</wp:posOffset>
                </wp:positionV>
                <wp:extent cx="2571750" cy="238125"/>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238125"/>
                        </a:xfrm>
                        <a:prstGeom prst="rect">
                          <a:avLst/>
                        </a:prstGeom>
                        <a:noFill/>
                        <a:ln w="9525">
                          <a:noFill/>
                          <a:miter lim="800000"/>
                          <a:headEnd/>
                          <a:tailEnd/>
                        </a:ln>
                      </wps:spPr>
                      <wps:txbx>
                        <w:txbxContent>
                          <w:p w14:paraId="27FC5A97" w14:textId="631F3688" w:rsidR="00C9521D" w:rsidRPr="00C9521D" w:rsidRDefault="00771DC0" w:rsidP="00C9521D">
                            <w:pPr>
                              <w:jc w:val="right"/>
                              <w:rPr>
                                <w:color w:val="FFFFFF" w:themeColor="background1"/>
                                <w:sz w:val="18"/>
                                <w:szCs w:val="18"/>
                              </w:rPr>
                            </w:pPr>
                            <w:r>
                              <w:rPr>
                                <w:color w:val="FFFFFF" w:themeColor="background1"/>
                                <w:sz w:val="18"/>
                                <w:szCs w:val="18"/>
                              </w:rPr>
                              <w:t>Shortleaf Bluestem Community, AR and OK</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AC3773" id="_x0000_s1027" type="#_x0000_t202" style="position:absolute;left:0;text-align:left;margin-left:288.75pt;margin-top:281.15pt;width:202.5pt;height:18.7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" filled="f" stroked="f">
                <v:textbox>
                  <w:txbxContent>
                    <w:p w14:paraId="27FC5A97" w14:textId="631F3688" w:rsidR="00C9521D" w:rsidRPr="00C9521D" w:rsidRDefault="00771DC0" w:rsidP="00C9521D">
                      <w:pPr>
                        <w:jc w:val="right"/>
                        <w:rPr>
                          <w:color w:val="FFFFFF" w:themeColor="background1"/>
                          <w:sz w:val="18"/>
                          <w:szCs w:val="18"/>
                        </w:rPr>
                      </w:pPr>
                      <w:r>
                        <w:rPr>
                          <w:color w:val="FFFFFF" w:themeColor="background1"/>
                          <w:sz w:val="18"/>
                          <w:szCs w:val="18"/>
                        </w:rPr>
                        <w:t>Shortleaf Bluestem Community, AR and OK</w:t>
                      </w:r>
                    </w:p>
                  </w:txbxContent>
                </v:textbox>
                <w10:wrap type="square"/>
              </v:shape>
            </w:pict>
          </mc:Fallback>
        </mc:AlternateContent>
      </w:r>
    </w:p>
    <w:p w14:paraId="5BA7732F" w14:textId="7EBEC876" w:rsidR="00483AC1" w:rsidRDefault="00483AC1" w:rsidP="00647303">
      <w:pPr>
        <w:pStyle w:val="Heading2"/>
        <w:jc w:val="center"/>
        <w:rPr>
          <w:b/>
          <w:bCs/>
        </w:rPr>
      </w:pPr>
    </w:p>
    <w:p w14:paraId="490F3CC4" w14:textId="303BF5D0" w:rsidR="00483AC1" w:rsidRDefault="00483AC1" w:rsidP="00647303">
      <w:pPr>
        <w:pStyle w:val="Heading2"/>
        <w:jc w:val="center"/>
        <w:rPr>
          <w:b/>
          <w:bCs/>
        </w:rPr>
      </w:pPr>
    </w:p>
    <w:p w14:paraId="1D934EE1" w14:textId="55B4C6F9" w:rsidR="00483AC1" w:rsidRDefault="00483AC1" w:rsidP="00647303">
      <w:pPr>
        <w:pStyle w:val="Heading2"/>
        <w:jc w:val="center"/>
        <w:rPr>
          <w:b/>
          <w:bCs/>
        </w:rPr>
      </w:pPr>
    </w:p>
    <w:p w14:paraId="0AE6E316" w14:textId="0785063B" w:rsidR="00483AC1" w:rsidRDefault="00483AC1" w:rsidP="00647303">
      <w:pPr>
        <w:pStyle w:val="Heading2"/>
        <w:jc w:val="center"/>
        <w:rPr>
          <w:b/>
          <w:bCs/>
        </w:rPr>
      </w:pPr>
      <w:bookmarkStart w:id="0" w:name="_GoBack"/>
      <w:bookmarkEnd w:id="0"/>
    </w:p>
    <w:p w14:paraId="31E128AE" w14:textId="7B4A7E0C" w:rsidR="00483AC1" w:rsidRDefault="00483AC1" w:rsidP="00647303">
      <w:pPr>
        <w:pStyle w:val="Heading2"/>
        <w:jc w:val="center"/>
        <w:rPr>
          <w:b/>
          <w:bCs/>
        </w:rPr>
      </w:pPr>
    </w:p>
    <w:p w14:paraId="7AC58FFF" w14:textId="72EDA96A" w:rsidR="00483AC1" w:rsidRDefault="00483AC1" w:rsidP="00647303">
      <w:pPr>
        <w:pStyle w:val="Heading2"/>
        <w:jc w:val="center"/>
        <w:rPr>
          <w:b/>
          <w:bCs/>
        </w:rPr>
      </w:pPr>
    </w:p>
    <w:p w14:paraId="0650FC4E" w14:textId="50E01FBA" w:rsidR="00483AC1" w:rsidRDefault="00483AC1" w:rsidP="00647303">
      <w:pPr>
        <w:pStyle w:val="Heading2"/>
        <w:jc w:val="center"/>
        <w:rPr>
          <w:b/>
          <w:bCs/>
        </w:rPr>
      </w:pPr>
    </w:p>
    <w:p w14:paraId="5752D99A" w14:textId="7FBA7076" w:rsidR="00483AC1" w:rsidRDefault="00483AC1" w:rsidP="00647303">
      <w:pPr>
        <w:pStyle w:val="Heading2"/>
        <w:jc w:val="center"/>
        <w:rPr>
          <w:b/>
          <w:bCs/>
        </w:rPr>
      </w:pPr>
    </w:p>
    <w:p w14:paraId="6EC11E04" w14:textId="760BC32E" w:rsidR="00483AC1" w:rsidRDefault="00483AC1" w:rsidP="00647303">
      <w:pPr>
        <w:pStyle w:val="Heading2"/>
        <w:jc w:val="center"/>
        <w:rPr>
          <w:b/>
          <w:bCs/>
        </w:rPr>
      </w:pPr>
    </w:p>
    <w:p w14:paraId="5B79C578" w14:textId="7E0A0CB1" w:rsidR="00483AC1" w:rsidRDefault="00483AC1" w:rsidP="00647303">
      <w:pPr>
        <w:pStyle w:val="Heading2"/>
        <w:jc w:val="center"/>
        <w:rPr>
          <w:b/>
          <w:bCs/>
        </w:rPr>
      </w:pPr>
    </w:p>
    <w:p w14:paraId="41AFF746" w14:textId="2FE089AE" w:rsidR="00483AC1" w:rsidRDefault="00483AC1" w:rsidP="00647303">
      <w:pPr>
        <w:pStyle w:val="Heading2"/>
        <w:jc w:val="center"/>
        <w:rPr>
          <w:b/>
          <w:bCs/>
        </w:rPr>
      </w:pPr>
    </w:p>
    <w:p w14:paraId="2DAC8200" w14:textId="242638C4" w:rsidR="00483AC1" w:rsidRDefault="006D518A" w:rsidP="00647303">
      <w:pPr>
        <w:pStyle w:val="Heading2"/>
        <w:jc w:val="center"/>
        <w:rPr>
          <w:b/>
          <w:bCs/>
        </w:rPr>
      </w:pPr>
      <w:r>
        <w:rPr>
          <w:noProof/>
        </w:rPr>
        <mc:AlternateContent>
          <mc:Choice Requires="wps">
            <w:drawing>
              <wp:anchor distT="0" distB="0" distL="114300" distR="114300" simplePos="0" relativeHeight="251662336" behindDoc="0" locked="0" layoutInCell="1" allowOverlap="1" wp14:anchorId="050FC0E1" wp14:editId="4B9724AD">
                <wp:simplePos x="0" y="0"/>
                <wp:positionH relativeFrom="margin">
                  <wp:posOffset>0</wp:posOffset>
                </wp:positionH>
                <wp:positionV relativeFrom="paragraph">
                  <wp:posOffset>142875</wp:posOffset>
                </wp:positionV>
                <wp:extent cx="4083685" cy="810260"/>
                <wp:effectExtent l="0" t="0" r="0" b="889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083685" cy="810260"/>
                        </a:xfrm>
                        <a:prstGeom prst="rect">
                          <a:avLst/>
                        </a:prstGeom>
                        <a:solidFill>
                          <a:schemeClr val="tx2">
                            <a:lumMod val="75000"/>
                          </a:schemeClr>
                        </a:solidFill>
                        <a:ln w="6350">
                          <a:noFill/>
                        </a:ln>
                      </wps:spPr>
                      <wps:txbx>
                        <w:txbxContent>
                          <w:p w14:paraId="1885126A" w14:textId="5F51F775" w:rsidR="00483AC1" w:rsidRPr="004A3982" w:rsidRDefault="00771DC0" w:rsidP="00483AC1">
                            <w:pPr>
                              <w:pStyle w:val="Subtitle"/>
                              <w:rPr>
                                <w:rFonts w:ascii="Calibri" w:hAnsi="Calibri" w:cs="Calibri"/>
                                <w:sz w:val="52"/>
                                <w:szCs w:val="52"/>
                              </w:rPr>
                            </w:pPr>
                            <w:r>
                              <w:rPr>
                                <w:rFonts w:ascii="Calibri" w:hAnsi="Calibri" w:cs="Calibri"/>
                                <w:sz w:val="52"/>
                                <w:szCs w:val="52"/>
                              </w:rPr>
                              <w:t>Leveraging Resources</w:t>
                            </w:r>
                            <w:r w:rsidR="00483AC1" w:rsidRPr="004A3982">
                              <w:rPr>
                                <w:rFonts w:ascii="Calibri" w:hAnsi="Calibri" w:cs="Calibri"/>
                                <w:sz w:val="52"/>
                                <w:szCs w:val="52"/>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50FC0E1" id="Text Box 6" o:spid="_x0000_s1028" type="#_x0000_t202" style="position:absolute;left:0;text-align:left;margin-left:0;margin-top:11.25pt;width:321.55pt;height:63.8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" fillcolor="#323e4f [2415]" stroked="f" strokeweight=".5pt">
                <v:textbox>
                  <w:txbxContent>
                    <w:p w14:paraId="1885126A" w14:textId="5F51F775" w:rsidR="00483AC1" w:rsidRPr="004A3982" w:rsidRDefault="00771DC0" w:rsidP="00483AC1">
                      <w:pPr>
                        <w:pStyle w:val="Subtitle"/>
                        <w:rPr>
                          <w:rFonts w:ascii="Calibri" w:hAnsi="Calibri" w:cs="Calibri"/>
                          <w:sz w:val="52"/>
                          <w:szCs w:val="52"/>
                        </w:rPr>
                      </w:pPr>
                      <w:r>
                        <w:rPr>
                          <w:rFonts w:ascii="Calibri" w:hAnsi="Calibri" w:cs="Calibri"/>
                          <w:sz w:val="52"/>
                          <w:szCs w:val="52"/>
                        </w:rPr>
                        <w:t>Leveraging Resources</w:t>
                      </w:r>
                      <w:r w:rsidR="00483AC1" w:rsidRPr="004A3982">
                        <w:rPr>
                          <w:rFonts w:ascii="Calibri" w:hAnsi="Calibri" w:cs="Calibri"/>
                          <w:sz w:val="52"/>
                          <w:szCs w:val="52"/>
                        </w:rPr>
                        <w:t xml:space="preserve"> </w:t>
                      </w:r>
                    </w:p>
                  </w:txbxContent>
                </v:textbox>
                <w10:wrap anchorx="margin"/>
              </v:shape>
            </w:pict>
          </mc:Fallback>
        </mc:AlternateContent>
      </w:r>
    </w:p>
    <w:p w14:paraId="0B8B8706" w14:textId="4581EB21" w:rsidR="00483AC1" w:rsidRDefault="00483AC1" w:rsidP="00647303">
      <w:pPr>
        <w:pStyle w:val="Heading2"/>
        <w:jc w:val="center"/>
        <w:rPr>
          <w:b/>
          <w:bCs/>
        </w:rPr>
      </w:pPr>
    </w:p>
    <w:p w14:paraId="42B0B3EC" w14:textId="54E8D693" w:rsidR="00483AC1" w:rsidRDefault="00483AC1" w:rsidP="00647303">
      <w:pPr>
        <w:pStyle w:val="Heading2"/>
        <w:jc w:val="center"/>
        <w:rPr>
          <w:b/>
          <w:bCs/>
        </w:rPr>
      </w:pPr>
    </w:p>
    <w:p w14:paraId="5D17423B" w14:textId="77777777" w:rsidR="00290428" w:rsidRDefault="00290428" w:rsidP="00A651A1">
      <w:pPr>
        <w:rPr>
          <w:i/>
          <w:iCs/>
          <w:sz w:val="26"/>
          <w:szCs w:val="26"/>
        </w:rPr>
      </w:pPr>
    </w:p>
    <w:p w14:paraId="738B0ADF" w14:textId="58D6D42A" w:rsidR="00647303" w:rsidRPr="00483AC1" w:rsidRDefault="00647303" w:rsidP="00A651A1">
      <w:pPr>
        <w:rPr>
          <w:i/>
          <w:iCs/>
          <w:sz w:val="26"/>
          <w:szCs w:val="26"/>
        </w:rPr>
      </w:pPr>
      <w:r w:rsidRPr="00483AC1">
        <w:rPr>
          <w:i/>
          <w:iCs/>
          <w:sz w:val="26"/>
          <w:szCs w:val="26"/>
        </w:rPr>
        <w:t xml:space="preserve">The purpose </w:t>
      </w:r>
      <w:r w:rsidR="00483AC1" w:rsidRPr="00483AC1">
        <w:rPr>
          <w:i/>
          <w:iCs/>
          <w:sz w:val="26"/>
          <w:szCs w:val="26"/>
        </w:rPr>
        <w:t>of</w:t>
      </w:r>
      <w:r w:rsidRPr="00483AC1">
        <w:rPr>
          <w:i/>
          <w:iCs/>
          <w:sz w:val="26"/>
          <w:szCs w:val="26"/>
        </w:rPr>
        <w:t xml:space="preserve"> this document is to summarize the results and lessons learned from the “</w:t>
      </w:r>
      <w:r w:rsidR="00771DC0">
        <w:rPr>
          <w:i/>
          <w:iCs/>
          <w:sz w:val="26"/>
          <w:szCs w:val="26"/>
        </w:rPr>
        <w:t>Leveraging Resources</w:t>
      </w:r>
      <w:r w:rsidRPr="00483AC1">
        <w:rPr>
          <w:i/>
          <w:iCs/>
          <w:sz w:val="26"/>
          <w:szCs w:val="26"/>
        </w:rPr>
        <w:t>” theme in the</w:t>
      </w:r>
      <w:r w:rsidR="00483AC1">
        <w:rPr>
          <w:i/>
          <w:iCs/>
          <w:sz w:val="26"/>
          <w:szCs w:val="26"/>
        </w:rPr>
        <w:t xml:space="preserve"> </w:t>
      </w:r>
      <w:r w:rsidR="00B82135">
        <w:rPr>
          <w:i/>
          <w:iCs/>
          <w:sz w:val="26"/>
          <w:szCs w:val="26"/>
        </w:rPr>
        <w:t>comprehensive</w:t>
      </w:r>
      <w:r w:rsidRPr="00483AC1">
        <w:rPr>
          <w:i/>
          <w:iCs/>
          <w:sz w:val="26"/>
          <w:szCs w:val="26"/>
        </w:rPr>
        <w:t xml:space="preserve"> </w:t>
      </w:r>
      <w:hyperlink r:id="rId9" w:history="1">
        <w:r w:rsidRPr="00483AC1">
          <w:rPr>
            <w:rStyle w:val="Hyperlink"/>
            <w:i/>
            <w:iCs/>
            <w:sz w:val="26"/>
            <w:szCs w:val="26"/>
          </w:rPr>
          <w:t>Collaborative Forest Landscape Restoration Program (CFLRP) 10 Years of Results and Lessons Learned</w:t>
        </w:r>
      </w:hyperlink>
      <w:r w:rsidRPr="00483AC1">
        <w:rPr>
          <w:i/>
          <w:iCs/>
          <w:sz w:val="26"/>
          <w:szCs w:val="26"/>
        </w:rPr>
        <w:t xml:space="preserve"> </w:t>
      </w:r>
      <w:r w:rsidR="00483AC1">
        <w:rPr>
          <w:i/>
          <w:iCs/>
          <w:sz w:val="26"/>
          <w:szCs w:val="26"/>
        </w:rPr>
        <w:t>report.</w:t>
      </w:r>
      <w:r w:rsidRPr="00483AC1">
        <w:rPr>
          <w:i/>
          <w:iCs/>
          <w:sz w:val="26"/>
          <w:szCs w:val="26"/>
        </w:rPr>
        <w:t xml:space="preserve"> </w:t>
      </w:r>
      <w:r w:rsidR="00B82135">
        <w:rPr>
          <w:i/>
          <w:iCs/>
          <w:sz w:val="26"/>
          <w:szCs w:val="26"/>
        </w:rPr>
        <w:t xml:space="preserve">Please review the report for details and resources. </w:t>
      </w:r>
    </w:p>
    <w:p w14:paraId="0B10B586" w14:textId="510F3662" w:rsidR="00483AC1" w:rsidRDefault="00483AC1" w:rsidP="00647303">
      <w:pPr>
        <w:pStyle w:val="Heading2"/>
        <w:rPr>
          <w:b/>
          <w:bCs/>
        </w:rPr>
      </w:pPr>
    </w:p>
    <w:p w14:paraId="6B22D5CB" w14:textId="77777777" w:rsidR="00771DC0" w:rsidRPr="00647303" w:rsidRDefault="00771DC0" w:rsidP="00771DC0">
      <w:pPr>
        <w:pStyle w:val="Heading2"/>
        <w:rPr>
          <w:b/>
          <w:bCs/>
        </w:rPr>
      </w:pPr>
      <w:r w:rsidRPr="00647303">
        <w:rPr>
          <w:b/>
          <w:bCs/>
        </w:rPr>
        <w:t>Overview</w:t>
      </w:r>
    </w:p>
    <w:p w14:paraId="3270CDEC" w14:textId="77777777" w:rsidR="00771DC0" w:rsidRDefault="00771DC0" w:rsidP="00771DC0">
      <w:pPr>
        <w:rPr>
          <w:sz w:val="24"/>
          <w:szCs w:val="24"/>
        </w:rPr>
      </w:pPr>
      <w:r w:rsidRPr="004552BC">
        <w:rPr>
          <w:sz w:val="24"/>
          <w:szCs w:val="24"/>
        </w:rPr>
        <w:t>CFLRP funding has been effectively used to leverage multiple local, regional, and national funding streams – including public and private funding – for restoration work on both Forest Service and private lands, to support the multi-party monitoring program, and provide employment and training opportunities to local youth. The strategic, place-based and long-term funding invested through CFLRP, leveraged with Forest Service funding and in-kind contributions, incentivized partners to contribute significant local funding to support restoration efforts on CFLRP landscapes. This leveraged funding not only expands our ability to create results together, it also reflects shared ownership in the results.</w:t>
      </w:r>
    </w:p>
    <w:p w14:paraId="2C98B645" w14:textId="77777777" w:rsidR="00771DC0" w:rsidRPr="00647303" w:rsidRDefault="00771DC0" w:rsidP="00771DC0">
      <w:pPr>
        <w:pStyle w:val="NoSpacing"/>
      </w:pPr>
    </w:p>
    <w:p w14:paraId="79953F3E" w14:textId="5DA3ABDE" w:rsidR="00771DC0" w:rsidRPr="00647303" w:rsidRDefault="00F12042" w:rsidP="00771DC0">
      <w:pPr>
        <w:pStyle w:val="Heading2"/>
        <w:rPr>
          <w:b/>
          <w:bCs/>
        </w:rPr>
      </w:pPr>
      <w:r>
        <w:rPr>
          <w:b/>
          <w:bCs/>
        </w:rPr>
        <w:t xml:space="preserve">Key Results and </w:t>
      </w:r>
      <w:r w:rsidR="00771DC0" w:rsidRPr="00647303">
        <w:rPr>
          <w:b/>
          <w:bCs/>
        </w:rPr>
        <w:t xml:space="preserve">Lessons Learned      </w:t>
      </w:r>
    </w:p>
    <w:p w14:paraId="6DA826FB" w14:textId="77777777" w:rsidR="00771DC0" w:rsidRPr="00647303" w:rsidRDefault="00771DC0" w:rsidP="00771DC0">
      <w:pPr>
        <w:pStyle w:val="Heading2"/>
        <w:spacing w:line="240" w:lineRule="auto"/>
        <w:rPr>
          <w:rFonts w:asciiTheme="minorHAnsi" w:hAnsiTheme="minorHAnsi" w:cstheme="minorHAnsi"/>
          <w:b/>
          <w:bCs/>
          <w:i/>
          <w:iCs/>
          <w:color w:val="auto"/>
          <w:sz w:val="24"/>
          <w:szCs w:val="24"/>
        </w:rPr>
      </w:pPr>
      <w:bookmarkStart w:id="1" w:name="_Project_Accomplishments"/>
      <w:bookmarkStart w:id="2" w:name="_Toc48740400"/>
      <w:bookmarkStart w:id="3" w:name="_Hlk40181430"/>
      <w:bookmarkEnd w:id="1"/>
      <w:r w:rsidRPr="004552BC">
        <w:rPr>
          <w:rFonts w:asciiTheme="minorHAnsi" w:hAnsiTheme="minorHAnsi" w:cstheme="minorHAnsi"/>
          <w:b/>
          <w:bCs/>
          <w:i/>
          <w:iCs/>
          <w:color w:val="auto"/>
          <w:sz w:val="24"/>
          <w:szCs w:val="24"/>
        </w:rPr>
        <w:t xml:space="preserve">To what extent does strategic federal investment in priority landscapes leverage partner resources?  </w:t>
      </w:r>
    </w:p>
    <w:p w14:paraId="66EC55F4" w14:textId="2D0CED48" w:rsidR="00771DC0" w:rsidRPr="004552BC" w:rsidRDefault="00771DC0" w:rsidP="00771DC0">
      <w:pPr>
        <w:pStyle w:val="ListParagraph"/>
        <w:numPr>
          <w:ilvl w:val="0"/>
          <w:numId w:val="21"/>
        </w:numPr>
        <w:spacing w:after="160"/>
        <w:rPr>
          <w:sz w:val="24"/>
          <w:szCs w:val="24"/>
        </w:rPr>
      </w:pPr>
      <w:r w:rsidRPr="004552BC">
        <w:rPr>
          <w:sz w:val="24"/>
          <w:szCs w:val="24"/>
        </w:rPr>
        <w:t xml:space="preserve">Between 2010 and 2019, </w:t>
      </w:r>
      <w:r w:rsidR="00E72E30">
        <w:rPr>
          <w:sz w:val="24"/>
          <w:szCs w:val="24"/>
        </w:rPr>
        <w:t xml:space="preserve">CFLRP </w:t>
      </w:r>
      <w:r w:rsidRPr="004552BC">
        <w:rPr>
          <w:sz w:val="24"/>
          <w:szCs w:val="24"/>
        </w:rPr>
        <w:t>projects have attracted more than $470 million in partner investments across the CFLRP landscapes; $159 million of which supported work on National Forest Systems lands through grant funding, stewardship agreements, job training for youth crews, monitoring, and more.</w:t>
      </w:r>
      <w:r>
        <w:rPr>
          <w:rStyle w:val="FootnoteReference"/>
          <w:sz w:val="24"/>
          <w:szCs w:val="24"/>
        </w:rPr>
        <w:footnoteReference w:id="1"/>
      </w:r>
      <w:r w:rsidRPr="004552BC">
        <w:rPr>
          <w:sz w:val="24"/>
          <w:szCs w:val="24"/>
        </w:rPr>
        <w:t xml:space="preserve"> The additional public-private partnership funding includes work on </w:t>
      </w:r>
      <w:r>
        <w:rPr>
          <w:sz w:val="24"/>
          <w:szCs w:val="24"/>
        </w:rPr>
        <w:t>other</w:t>
      </w:r>
      <w:r w:rsidRPr="004552BC">
        <w:rPr>
          <w:sz w:val="24"/>
          <w:szCs w:val="24"/>
        </w:rPr>
        <w:t xml:space="preserve"> lands within the CFLRP landscape.</w:t>
      </w:r>
    </w:p>
    <w:p w14:paraId="13AA6BB4" w14:textId="25B8F11A" w:rsidR="00771DC0" w:rsidRDefault="00771DC0" w:rsidP="00771DC0">
      <w:pPr>
        <w:pStyle w:val="ListParagraph"/>
        <w:numPr>
          <w:ilvl w:val="0"/>
          <w:numId w:val="21"/>
        </w:numPr>
        <w:spacing w:after="160"/>
        <w:rPr>
          <w:sz w:val="24"/>
          <w:szCs w:val="24"/>
        </w:rPr>
      </w:pPr>
      <w:r w:rsidRPr="004552BC">
        <w:rPr>
          <w:sz w:val="24"/>
          <w:szCs w:val="24"/>
        </w:rPr>
        <w:t xml:space="preserve">For every dollar of CFLRP funding spent, </w:t>
      </w:r>
      <w:r w:rsidR="00E72E30">
        <w:rPr>
          <w:sz w:val="24"/>
          <w:szCs w:val="24"/>
        </w:rPr>
        <w:t>CFLRP projects</w:t>
      </w:r>
      <w:r w:rsidRPr="004552BC">
        <w:rPr>
          <w:sz w:val="24"/>
          <w:szCs w:val="24"/>
        </w:rPr>
        <w:t xml:space="preserve"> attracted $1.80 from partner investments</w:t>
      </w:r>
      <w:r>
        <w:rPr>
          <w:sz w:val="24"/>
          <w:szCs w:val="24"/>
        </w:rPr>
        <w:t>.</w:t>
      </w:r>
      <w:r>
        <w:rPr>
          <w:rStyle w:val="FootnoteReference"/>
          <w:sz w:val="24"/>
          <w:szCs w:val="24"/>
        </w:rPr>
        <w:footnoteReference w:id="2"/>
      </w:r>
    </w:p>
    <w:p w14:paraId="64981DCB" w14:textId="64A4F5BD" w:rsidR="00771DC0" w:rsidRPr="00771DC0" w:rsidRDefault="00771DC0" w:rsidP="00771DC0">
      <w:pPr>
        <w:spacing w:after="160"/>
        <w:ind w:left="360"/>
        <w:rPr>
          <w:sz w:val="24"/>
          <w:szCs w:val="24"/>
        </w:rPr>
      </w:pPr>
    </w:p>
    <w:p w14:paraId="0BF287C0" w14:textId="27744DB8" w:rsidR="00771DC0" w:rsidRDefault="00771DC0" w:rsidP="00771DC0">
      <w:pPr>
        <w:pStyle w:val="Heading2"/>
        <w:rPr>
          <w:rFonts w:asciiTheme="minorHAnsi" w:hAnsiTheme="minorHAnsi" w:cstheme="minorHAnsi"/>
          <w:b/>
          <w:bCs/>
          <w:i/>
          <w:iCs/>
          <w:color w:val="auto"/>
          <w:sz w:val="24"/>
          <w:szCs w:val="24"/>
        </w:rPr>
      </w:pPr>
      <w:bookmarkStart w:id="4" w:name="_What_role_does"/>
      <w:bookmarkStart w:id="5" w:name="_Toc48661661"/>
      <w:bookmarkStart w:id="6" w:name="_Toc48740485"/>
      <w:bookmarkStart w:id="7" w:name="_Toc48661660"/>
      <w:bookmarkStart w:id="8" w:name="_Toc48740484"/>
      <w:bookmarkEnd w:id="4"/>
      <w:r w:rsidRPr="00C051C9">
        <w:rPr>
          <w:rFonts w:cstheme="minorHAnsi"/>
          <w:noProof/>
          <w:color w:val="000000" w:themeColor="text1"/>
        </w:rPr>
        <mc:AlternateContent>
          <mc:Choice Requires="wps">
            <w:drawing>
              <wp:anchor distT="0" distB="0" distL="114300" distR="114300" simplePos="0" relativeHeight="251667456" behindDoc="0" locked="0" layoutInCell="1" allowOverlap="1" wp14:anchorId="055BBA3D" wp14:editId="0066D5E5">
                <wp:simplePos x="0" y="0"/>
                <wp:positionH relativeFrom="margin">
                  <wp:align>center</wp:align>
                </wp:positionH>
                <wp:positionV relativeFrom="margin">
                  <wp:align>top</wp:align>
                </wp:positionV>
                <wp:extent cx="5334000" cy="4048125"/>
                <wp:effectExtent l="0" t="0" r="0" b="9525"/>
                <wp:wrapSquare wrapText="bothSides"/>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334000" cy="4048125"/>
                        </a:xfrm>
                        <a:prstGeom prst="rect">
                          <a:avLst/>
                        </a:prstGeom>
                        <a:solidFill>
                          <a:prstClr val="white"/>
                        </a:solidFill>
                        <a:ln>
                          <a:noFill/>
                        </a:ln>
                        <a:effectLst/>
                      </wps:spPr>
                      <wps:txbx>
                        <w:txbxContent>
                          <w:p w14:paraId="36B3AFA9" w14:textId="77777777" w:rsidR="00771DC0" w:rsidRDefault="00771DC0" w:rsidP="00771DC0">
                            <w:pPr>
                              <w:pStyle w:val="NoSpacing"/>
                            </w:pPr>
                            <w:bookmarkStart w:id="9" w:name="_Hlk40446425"/>
                            <w:bookmarkEnd w:id="9"/>
                          </w:p>
                          <w:p w14:paraId="2666B3DF" w14:textId="77777777" w:rsidR="00771DC0" w:rsidRDefault="00771DC0" w:rsidP="00771DC0">
                            <w:pPr>
                              <w:pStyle w:val="NoSpacing"/>
                            </w:pPr>
                            <w:r>
                              <w:rPr>
                                <w:noProof/>
                              </w:rPr>
                              <w:drawing>
                                <wp:inline distT="0" distB="0" distL="0" distR="0" wp14:anchorId="5DCF8806" wp14:editId="016E5004">
                                  <wp:extent cx="5262880" cy="2817628"/>
                                  <wp:effectExtent l="0" t="0" r="13970" b="1905"/>
                                  <wp:docPr id="8" name="Chart 8" descr="Pie chart.">
                                    <a:extLst xmlns:a="http://schemas.openxmlformats.org/drawingml/2006/main">
                                      <a:ext uri="{FF2B5EF4-FFF2-40B4-BE49-F238E27FC236}">
                                        <a16:creationId xmlns:a16="http://schemas.microsoft.com/office/drawing/2014/main" id="{AEEB4DAD-884F-4699-8115-EBDDD19211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0F44CF" w14:textId="5FA44C7D" w:rsidR="00771DC0" w:rsidRPr="0033356B" w:rsidRDefault="00771DC0" w:rsidP="00771DC0">
                            <w:pPr>
                              <w:pStyle w:val="NoSpacing"/>
                              <w:jc w:val="both"/>
                              <w:rPr>
                                <w:i/>
                                <w:iCs/>
                                <w:noProof/>
                                <w:sz w:val="24"/>
                                <w:u w:val="single"/>
                              </w:rPr>
                            </w:pPr>
                            <w:r w:rsidRPr="00CF1934">
                              <w:rPr>
                                <w:i/>
                                <w:iCs/>
                              </w:rPr>
                              <w:t xml:space="preserve">FS </w:t>
                            </w:r>
                            <w:r>
                              <w:rPr>
                                <w:i/>
                                <w:iCs/>
                              </w:rPr>
                              <w:t xml:space="preserve">(Forest Service) </w:t>
                            </w:r>
                            <w:r w:rsidRPr="00CF1934">
                              <w:rPr>
                                <w:i/>
                                <w:iCs/>
                              </w:rPr>
                              <w:t>CFLRP funding are funds authorized by Congress and can be spent on implementation and monitoring on N</w:t>
                            </w:r>
                            <w:r>
                              <w:rPr>
                                <w:i/>
                                <w:iCs/>
                              </w:rPr>
                              <w:t xml:space="preserve">ational Forest System (NFS) </w:t>
                            </w:r>
                            <w:r w:rsidRPr="00CF1934">
                              <w:rPr>
                                <w:i/>
                                <w:iCs/>
                              </w:rPr>
                              <w:t xml:space="preserve">lands. Other FS funding includes Agency funds to support CFLRP </w:t>
                            </w:r>
                            <w:r w:rsidR="00E72E30">
                              <w:rPr>
                                <w:i/>
                                <w:iCs/>
                              </w:rPr>
                              <w:t>p</w:t>
                            </w:r>
                            <w:r w:rsidRPr="00CF1934">
                              <w:rPr>
                                <w:i/>
                                <w:iCs/>
                              </w:rPr>
                              <w:t>rojects across all lands. Partner match includes funding and in-kind contributions from partners to support CFLRP projects across all lands. Goods for Services represents the value of goods traded for services in stewardship contracts to implement treatments and monitor CFLRP projects on NFS lands.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5BBA3D" id="Text Box 4" o:spid="_x0000_s1029" type="#_x0000_t202" style="position:absolute;margin-left:0;margin-top:0;width:420pt;height:318.75pt;z-index:251667456;visibility:visible;mso-wrap-style:square;mso-width-percent:0;mso-height-percent:0;mso-wrap-distance-left:9pt;mso-wrap-distance-top:0;mso-wrap-distance-right:9pt;mso-wrap-distance-bottom:0;mso-position-horizontal:center;mso-position-horizontal-relative:margin;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" stroked="f">
                <v:textbox inset="0,0,0,0">
                  <w:txbxContent>
                    <w:p w14:paraId="36B3AFA9" w14:textId="77777777" w:rsidR="00771DC0" w:rsidRDefault="00771DC0" w:rsidP="00771DC0">
                      <w:pPr>
                        <w:pStyle w:val="NoSpacing"/>
                      </w:pPr>
                      <w:bookmarkStart w:id="10" w:name="_Hlk40446425"/>
                      <w:bookmarkEnd w:id="10"/>
                    </w:p>
                    <w:p w14:paraId="2666B3DF" w14:textId="77777777" w:rsidR="00771DC0" w:rsidRDefault="00771DC0" w:rsidP="00771DC0">
                      <w:pPr>
                        <w:pStyle w:val="NoSpacing"/>
                      </w:pPr>
                      <w:r>
                        <w:rPr>
                          <w:noProof/>
                        </w:rPr>
                        <w:drawing>
                          <wp:inline distT="0" distB="0" distL="0" distR="0" wp14:anchorId="5DCF8806" wp14:editId="016E5004">
                            <wp:extent cx="5262880" cy="2817628"/>
                            <wp:effectExtent l="0" t="0" r="13970" b="1905"/>
                            <wp:docPr id="8" name="Chart 8" descr="Pie chart.">
                              <a:extLst xmlns:a="http://schemas.openxmlformats.org/drawingml/2006/main">
                                <a:ext uri="{FF2B5EF4-FFF2-40B4-BE49-F238E27FC236}">
                                  <a16:creationId xmlns:a16="http://schemas.microsoft.com/office/drawing/2014/main" id="{AEEB4DAD-884F-4699-8115-EBDDD19211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4D0F44CF" w14:textId="5FA44C7D" w:rsidR="00771DC0" w:rsidRPr="0033356B" w:rsidRDefault="00771DC0" w:rsidP="00771DC0">
                      <w:pPr>
                        <w:pStyle w:val="NoSpacing"/>
                        <w:jc w:val="both"/>
                        <w:rPr>
                          <w:i/>
                          <w:iCs/>
                          <w:noProof/>
                          <w:sz w:val="24"/>
                          <w:u w:val="single"/>
                        </w:rPr>
                      </w:pPr>
                      <w:r w:rsidRPr="00CF1934">
                        <w:rPr>
                          <w:i/>
                          <w:iCs/>
                        </w:rPr>
                        <w:t xml:space="preserve">FS </w:t>
                      </w:r>
                      <w:r>
                        <w:rPr>
                          <w:i/>
                          <w:iCs/>
                        </w:rPr>
                        <w:t xml:space="preserve">(Forest Service) </w:t>
                      </w:r>
                      <w:r w:rsidRPr="00CF1934">
                        <w:rPr>
                          <w:i/>
                          <w:iCs/>
                        </w:rPr>
                        <w:t>CFLRP funding are funds authorized by Congress and can be spent on implementation and monitoring on N</w:t>
                      </w:r>
                      <w:r>
                        <w:rPr>
                          <w:i/>
                          <w:iCs/>
                        </w:rPr>
                        <w:t xml:space="preserve">ational Forest System (NFS) </w:t>
                      </w:r>
                      <w:r w:rsidRPr="00CF1934">
                        <w:rPr>
                          <w:i/>
                          <w:iCs/>
                        </w:rPr>
                        <w:t xml:space="preserve">lands. Other FS funding includes Agency funds to support CFLRP </w:t>
                      </w:r>
                      <w:r w:rsidR="00E72E30">
                        <w:rPr>
                          <w:i/>
                          <w:iCs/>
                        </w:rPr>
                        <w:t>p</w:t>
                      </w:r>
                      <w:r w:rsidRPr="00CF1934">
                        <w:rPr>
                          <w:i/>
                          <w:iCs/>
                        </w:rPr>
                        <w:t>rojects across all lands. Partner match includes funding and in-kind contributions from partners to support CFLRP projects across all lands. Goods for Services represents the value of goods traded for services in stewardship contracts to implement treatments and monitor CFLRP projects on NFS lands.</w:t>
                      </w:r>
                    </w:p>
                  </w:txbxContent>
                </v:textbox>
                <w10:wrap type="square" anchorx="margin" anchory="margin"/>
              </v:shape>
            </w:pict>
          </mc:Fallback>
        </mc:AlternateContent>
      </w:r>
    </w:p>
    <w:p w14:paraId="724E7C6E" w14:textId="77777777" w:rsidR="00771DC0" w:rsidRDefault="00771DC0" w:rsidP="00771DC0">
      <w:pPr>
        <w:pStyle w:val="Heading2"/>
        <w:rPr>
          <w:rFonts w:asciiTheme="minorHAnsi" w:hAnsiTheme="minorHAnsi" w:cstheme="minorHAnsi"/>
          <w:b/>
          <w:bCs/>
          <w:i/>
          <w:iCs/>
          <w:color w:val="auto"/>
          <w:sz w:val="24"/>
          <w:szCs w:val="24"/>
        </w:rPr>
      </w:pPr>
    </w:p>
    <w:p w14:paraId="48088431" w14:textId="77777777" w:rsidR="00771DC0" w:rsidRDefault="00771DC0" w:rsidP="00771DC0">
      <w:pPr>
        <w:pStyle w:val="Heading2"/>
        <w:rPr>
          <w:rFonts w:asciiTheme="minorHAnsi" w:hAnsiTheme="minorHAnsi" w:cstheme="minorHAnsi"/>
          <w:b/>
          <w:bCs/>
          <w:i/>
          <w:iCs/>
          <w:color w:val="auto"/>
          <w:sz w:val="24"/>
          <w:szCs w:val="24"/>
        </w:rPr>
      </w:pPr>
    </w:p>
    <w:p w14:paraId="09C42BF0" w14:textId="77777777" w:rsidR="00771DC0" w:rsidRDefault="00771DC0" w:rsidP="00771DC0">
      <w:pPr>
        <w:pStyle w:val="Heading2"/>
        <w:rPr>
          <w:rFonts w:asciiTheme="minorHAnsi" w:hAnsiTheme="minorHAnsi" w:cstheme="minorHAnsi"/>
          <w:b/>
          <w:bCs/>
          <w:i/>
          <w:iCs/>
          <w:color w:val="auto"/>
          <w:sz w:val="24"/>
          <w:szCs w:val="24"/>
        </w:rPr>
      </w:pPr>
    </w:p>
    <w:p w14:paraId="45D64B63" w14:textId="77777777" w:rsidR="00771DC0" w:rsidRDefault="00771DC0" w:rsidP="00771DC0">
      <w:pPr>
        <w:pStyle w:val="Heading2"/>
        <w:rPr>
          <w:rFonts w:asciiTheme="minorHAnsi" w:hAnsiTheme="minorHAnsi" w:cstheme="minorHAnsi"/>
          <w:b/>
          <w:bCs/>
          <w:i/>
          <w:iCs/>
          <w:color w:val="auto"/>
          <w:sz w:val="24"/>
          <w:szCs w:val="24"/>
        </w:rPr>
      </w:pPr>
    </w:p>
    <w:p w14:paraId="4916ED74" w14:textId="77777777" w:rsidR="00771DC0" w:rsidRDefault="00771DC0" w:rsidP="00771DC0">
      <w:pPr>
        <w:pStyle w:val="Heading2"/>
        <w:rPr>
          <w:rFonts w:asciiTheme="minorHAnsi" w:hAnsiTheme="minorHAnsi" w:cstheme="minorHAnsi"/>
          <w:b/>
          <w:bCs/>
          <w:i/>
          <w:iCs/>
          <w:color w:val="auto"/>
          <w:sz w:val="24"/>
          <w:szCs w:val="24"/>
        </w:rPr>
      </w:pPr>
    </w:p>
    <w:p w14:paraId="0FA068D7" w14:textId="77777777" w:rsidR="00771DC0" w:rsidRDefault="00771DC0" w:rsidP="00771DC0">
      <w:pPr>
        <w:pStyle w:val="Heading2"/>
        <w:rPr>
          <w:rFonts w:asciiTheme="minorHAnsi" w:hAnsiTheme="minorHAnsi" w:cstheme="minorHAnsi"/>
          <w:b/>
          <w:bCs/>
          <w:i/>
          <w:iCs/>
          <w:color w:val="auto"/>
          <w:sz w:val="24"/>
          <w:szCs w:val="24"/>
        </w:rPr>
      </w:pPr>
    </w:p>
    <w:p w14:paraId="17E2B096" w14:textId="77777777" w:rsidR="00771DC0" w:rsidRDefault="00771DC0" w:rsidP="00771DC0">
      <w:pPr>
        <w:pStyle w:val="Heading2"/>
        <w:rPr>
          <w:rFonts w:asciiTheme="minorHAnsi" w:hAnsiTheme="minorHAnsi" w:cstheme="minorHAnsi"/>
          <w:b/>
          <w:bCs/>
          <w:i/>
          <w:iCs/>
          <w:color w:val="auto"/>
          <w:sz w:val="24"/>
          <w:szCs w:val="24"/>
        </w:rPr>
      </w:pPr>
    </w:p>
    <w:p w14:paraId="6E9D31F9" w14:textId="77777777" w:rsidR="00771DC0" w:rsidRDefault="00771DC0" w:rsidP="00771DC0">
      <w:pPr>
        <w:pStyle w:val="Heading2"/>
        <w:rPr>
          <w:rFonts w:asciiTheme="minorHAnsi" w:hAnsiTheme="minorHAnsi" w:cstheme="minorHAnsi"/>
          <w:b/>
          <w:bCs/>
          <w:i/>
          <w:iCs/>
          <w:color w:val="auto"/>
          <w:sz w:val="24"/>
          <w:szCs w:val="24"/>
        </w:rPr>
      </w:pPr>
    </w:p>
    <w:p w14:paraId="1F93023D" w14:textId="77777777" w:rsidR="00771DC0" w:rsidRDefault="00771DC0" w:rsidP="00771DC0"/>
    <w:p w14:paraId="65C99D79" w14:textId="77777777" w:rsidR="00771DC0" w:rsidRDefault="00771DC0" w:rsidP="00771DC0"/>
    <w:p w14:paraId="02AB1775" w14:textId="77777777" w:rsidR="00771DC0" w:rsidRDefault="00771DC0" w:rsidP="00771DC0"/>
    <w:p w14:paraId="78AF9793" w14:textId="77777777" w:rsidR="00771DC0" w:rsidRPr="0033356B" w:rsidRDefault="00771DC0" w:rsidP="00771DC0"/>
    <w:bookmarkEnd w:id="5"/>
    <w:bookmarkEnd w:id="6"/>
    <w:p w14:paraId="41A0CEFB" w14:textId="77777777" w:rsidR="00771DC0" w:rsidRDefault="00771DC0" w:rsidP="00771DC0">
      <w:pPr>
        <w:pStyle w:val="Heading2"/>
        <w:rPr>
          <w:rFonts w:asciiTheme="minorHAnsi" w:hAnsiTheme="minorHAnsi" w:cstheme="minorHAnsi"/>
          <w:b/>
          <w:bCs/>
          <w:i/>
          <w:iCs/>
          <w:color w:val="auto"/>
          <w:sz w:val="24"/>
          <w:szCs w:val="24"/>
        </w:rPr>
      </w:pPr>
    </w:p>
    <w:p w14:paraId="683A1552" w14:textId="77777777" w:rsidR="00771DC0" w:rsidRDefault="00771DC0" w:rsidP="00771DC0">
      <w:pPr>
        <w:pStyle w:val="Heading2"/>
        <w:rPr>
          <w:rFonts w:asciiTheme="minorHAnsi" w:hAnsiTheme="minorHAnsi" w:cstheme="minorHAnsi"/>
          <w:b/>
          <w:bCs/>
          <w:i/>
          <w:iCs/>
          <w:color w:val="auto"/>
          <w:sz w:val="24"/>
          <w:szCs w:val="24"/>
        </w:rPr>
      </w:pPr>
    </w:p>
    <w:p w14:paraId="1232138A" w14:textId="77777777" w:rsidR="00771DC0" w:rsidRDefault="00771DC0" w:rsidP="00771DC0">
      <w:pPr>
        <w:pStyle w:val="Heading2"/>
        <w:rPr>
          <w:rFonts w:asciiTheme="minorHAnsi" w:hAnsiTheme="minorHAnsi" w:cstheme="minorHAnsi"/>
          <w:b/>
          <w:bCs/>
          <w:i/>
          <w:iCs/>
          <w:color w:val="auto"/>
          <w:sz w:val="24"/>
          <w:szCs w:val="24"/>
        </w:rPr>
      </w:pPr>
    </w:p>
    <w:p w14:paraId="5BFEF7F1" w14:textId="77777777" w:rsidR="00771DC0" w:rsidRDefault="00771DC0" w:rsidP="00771DC0">
      <w:pPr>
        <w:pStyle w:val="Heading2"/>
        <w:rPr>
          <w:rFonts w:asciiTheme="minorHAnsi" w:hAnsiTheme="minorHAnsi" w:cstheme="minorHAnsi"/>
          <w:b/>
          <w:bCs/>
          <w:i/>
          <w:iCs/>
          <w:color w:val="auto"/>
          <w:sz w:val="24"/>
          <w:szCs w:val="24"/>
        </w:rPr>
      </w:pPr>
    </w:p>
    <w:p w14:paraId="037BDC96" w14:textId="77777777" w:rsidR="00771DC0" w:rsidRDefault="00771DC0" w:rsidP="00771DC0">
      <w:pPr>
        <w:pStyle w:val="Heading2"/>
        <w:rPr>
          <w:rFonts w:asciiTheme="minorHAnsi" w:hAnsiTheme="minorHAnsi" w:cstheme="minorHAnsi"/>
          <w:b/>
          <w:bCs/>
          <w:i/>
          <w:iCs/>
          <w:color w:val="auto"/>
          <w:sz w:val="24"/>
          <w:szCs w:val="24"/>
        </w:rPr>
      </w:pPr>
    </w:p>
    <w:p w14:paraId="0356EBD4" w14:textId="36D006F7" w:rsidR="00771DC0" w:rsidRPr="003A5F6D" w:rsidRDefault="00771DC0" w:rsidP="00771DC0">
      <w:pPr>
        <w:pStyle w:val="Heading2"/>
        <w:rPr>
          <w:rFonts w:asciiTheme="minorHAnsi" w:hAnsiTheme="minorHAnsi" w:cstheme="minorHAnsi"/>
          <w:b/>
          <w:bCs/>
          <w:i/>
          <w:iCs/>
          <w:color w:val="auto"/>
          <w:sz w:val="24"/>
          <w:szCs w:val="24"/>
        </w:rPr>
      </w:pPr>
      <w:r w:rsidRPr="0033356B">
        <w:rPr>
          <w:rFonts w:asciiTheme="minorHAnsi" w:hAnsiTheme="minorHAnsi" w:cstheme="minorHAnsi"/>
          <w:b/>
          <w:bCs/>
          <w:i/>
          <w:iCs/>
          <w:color w:val="auto"/>
          <w:sz w:val="24"/>
          <w:szCs w:val="24"/>
        </w:rPr>
        <w:t>What kinds of partners tend to provide leveraged capacity? What best practices emerged?</w:t>
      </w:r>
    </w:p>
    <w:p w14:paraId="38A1CD27" w14:textId="77777777" w:rsidR="00771DC0" w:rsidRPr="0033356B" w:rsidRDefault="00771DC0" w:rsidP="00771DC0">
      <w:pPr>
        <w:pStyle w:val="Heading2"/>
        <w:numPr>
          <w:ilvl w:val="0"/>
          <w:numId w:val="21"/>
        </w:numPr>
        <w:rPr>
          <w:rFonts w:asciiTheme="minorHAnsi" w:eastAsiaTheme="minorHAnsi" w:hAnsiTheme="minorHAnsi" w:cstheme="minorHAnsi"/>
          <w:color w:val="auto"/>
          <w:sz w:val="24"/>
          <w:szCs w:val="24"/>
        </w:rPr>
      </w:pPr>
      <w:bookmarkStart w:id="11" w:name="_Toc48661664"/>
      <w:bookmarkStart w:id="12" w:name="_Toc48740488"/>
      <w:r w:rsidRPr="0033356B">
        <w:rPr>
          <w:rFonts w:asciiTheme="minorHAnsi" w:eastAsiaTheme="minorHAnsi" w:hAnsiTheme="minorHAnsi" w:cstheme="minorHAnsi"/>
          <w:color w:val="auto"/>
          <w:sz w:val="24"/>
          <w:szCs w:val="24"/>
        </w:rPr>
        <w:t xml:space="preserve">Contributions came from NGOs such as National Fish and Wildlife Foundation, Sierra Institute for Community and Environment, National Wild Turkey Federation, The Nature Conservancy, Trout Unlimited; youth educational programs such as Student Conservation Association, California Conservation Corps, Montana Conservation Corps; federal agencies such as US Geological Survey, Natural Resource Conservation Service, Bureau of Indian Affairs, National Park Service; state agencies such as California Department of Forestry and Fire Protection; Washington State Department of Transportation; universities such as Washington State University, California State University; municipal watersheds such as Upper Mokelumne River Watershed Authority and timber industries such as Iron Triangle Logging. </w:t>
      </w:r>
    </w:p>
    <w:p w14:paraId="3248204B" w14:textId="77777777" w:rsidR="00771DC0" w:rsidRDefault="00771DC0" w:rsidP="00771DC0">
      <w:pPr>
        <w:pStyle w:val="Heading2"/>
        <w:numPr>
          <w:ilvl w:val="0"/>
          <w:numId w:val="21"/>
        </w:numPr>
        <w:rPr>
          <w:rFonts w:asciiTheme="minorHAnsi" w:eastAsiaTheme="minorHAnsi" w:hAnsiTheme="minorHAnsi" w:cstheme="minorHAnsi"/>
          <w:color w:val="auto"/>
          <w:sz w:val="24"/>
          <w:szCs w:val="24"/>
        </w:rPr>
      </w:pPr>
      <w:r w:rsidRPr="0033356B">
        <w:rPr>
          <w:rFonts w:asciiTheme="minorHAnsi" w:eastAsiaTheme="minorHAnsi" w:hAnsiTheme="minorHAnsi" w:cstheme="minorHAnsi"/>
          <w:color w:val="auto"/>
          <w:sz w:val="24"/>
          <w:szCs w:val="24"/>
        </w:rPr>
        <w:t>Project partners successfully leverage</w:t>
      </w:r>
      <w:r>
        <w:rPr>
          <w:rFonts w:asciiTheme="minorHAnsi" w:eastAsiaTheme="minorHAnsi" w:hAnsiTheme="minorHAnsi" w:cstheme="minorHAnsi"/>
          <w:color w:val="auto"/>
          <w:sz w:val="24"/>
          <w:szCs w:val="24"/>
        </w:rPr>
        <w:t>d</w:t>
      </w:r>
      <w:r w:rsidRPr="0033356B">
        <w:rPr>
          <w:rFonts w:asciiTheme="minorHAnsi" w:eastAsiaTheme="minorHAnsi" w:hAnsiTheme="minorHAnsi" w:cstheme="minorHAnsi"/>
          <w:color w:val="auto"/>
          <w:sz w:val="24"/>
          <w:szCs w:val="24"/>
        </w:rPr>
        <w:t xml:space="preserve"> multiple funding sources to accomplish restoration projects, support the multi-party monitoring program, and provide employment and training </w:t>
      </w:r>
      <w:r>
        <w:rPr>
          <w:rFonts w:asciiTheme="minorHAnsi" w:eastAsiaTheme="minorHAnsi" w:hAnsiTheme="minorHAnsi" w:cstheme="minorHAnsi"/>
          <w:color w:val="auto"/>
          <w:sz w:val="24"/>
          <w:szCs w:val="24"/>
        </w:rPr>
        <w:t>for</w:t>
      </w:r>
      <w:r w:rsidRPr="0033356B">
        <w:rPr>
          <w:rFonts w:asciiTheme="minorHAnsi" w:eastAsiaTheme="minorHAnsi" w:hAnsiTheme="minorHAnsi" w:cstheme="minorHAnsi"/>
          <w:color w:val="auto"/>
          <w:sz w:val="24"/>
          <w:szCs w:val="24"/>
        </w:rPr>
        <w:t xml:space="preserve"> local youth.</w:t>
      </w:r>
    </w:p>
    <w:p w14:paraId="140BAFE5" w14:textId="77777777" w:rsidR="00771DC0" w:rsidRDefault="00771DC0" w:rsidP="00771DC0">
      <w:pPr>
        <w:pStyle w:val="ListParagraph"/>
        <w:numPr>
          <w:ilvl w:val="0"/>
          <w:numId w:val="21"/>
        </w:numPr>
        <w:rPr>
          <w:rFonts w:cstheme="minorHAnsi"/>
          <w:sz w:val="24"/>
          <w:szCs w:val="24"/>
        </w:rPr>
      </w:pPr>
      <w:r w:rsidRPr="0033356B">
        <w:rPr>
          <w:rFonts w:cstheme="minorHAnsi"/>
          <w:sz w:val="24"/>
          <w:szCs w:val="24"/>
        </w:rPr>
        <w:t xml:space="preserve">To sustain future capacity, it’s critical to continue to invest in partner relationships and collaboration among all involved parties with meetings, field trips, outreach and technology transfer. </w:t>
      </w:r>
    </w:p>
    <w:p w14:paraId="1F67A515" w14:textId="77777777" w:rsidR="00771DC0" w:rsidRPr="0033356B" w:rsidRDefault="00771DC0" w:rsidP="00771DC0">
      <w:pPr>
        <w:pStyle w:val="ListParagraph"/>
        <w:numPr>
          <w:ilvl w:val="0"/>
          <w:numId w:val="21"/>
        </w:numPr>
        <w:rPr>
          <w:rFonts w:cstheme="minorHAnsi"/>
          <w:sz w:val="24"/>
          <w:szCs w:val="24"/>
        </w:rPr>
      </w:pPr>
      <w:r w:rsidRPr="0033356B">
        <w:rPr>
          <w:rFonts w:cstheme="minorHAnsi"/>
          <w:sz w:val="24"/>
          <w:szCs w:val="24"/>
        </w:rPr>
        <w:t>CFLR</w:t>
      </w:r>
      <w:r>
        <w:rPr>
          <w:rFonts w:cstheme="minorHAnsi"/>
          <w:sz w:val="24"/>
          <w:szCs w:val="24"/>
        </w:rPr>
        <w:t>P</w:t>
      </w:r>
      <w:r w:rsidRPr="0033356B">
        <w:rPr>
          <w:rFonts w:cstheme="minorHAnsi"/>
          <w:sz w:val="24"/>
          <w:szCs w:val="24"/>
        </w:rPr>
        <w:t xml:space="preserve"> funding has been effectively used to leverage more funds and structuring funds/contracts to increase total capacity for restoration work on both Forest Service and private lands. Public-private funds expand the pace and scale of implementation through volunteer hours to complete </w:t>
      </w:r>
      <w:r>
        <w:rPr>
          <w:rFonts w:cstheme="minorHAnsi"/>
          <w:sz w:val="24"/>
          <w:szCs w:val="24"/>
        </w:rPr>
        <w:t xml:space="preserve">treatment implementation from </w:t>
      </w:r>
      <w:r w:rsidRPr="0033356B">
        <w:rPr>
          <w:rFonts w:cstheme="minorHAnsi"/>
          <w:sz w:val="24"/>
          <w:szCs w:val="24"/>
        </w:rPr>
        <w:t xml:space="preserve">trail work </w:t>
      </w:r>
      <w:r>
        <w:rPr>
          <w:rFonts w:cstheme="minorHAnsi"/>
          <w:sz w:val="24"/>
          <w:szCs w:val="24"/>
        </w:rPr>
        <w:t>to</w:t>
      </w:r>
      <w:r w:rsidRPr="0033356B">
        <w:rPr>
          <w:rFonts w:cstheme="minorHAnsi"/>
          <w:sz w:val="24"/>
          <w:szCs w:val="24"/>
        </w:rPr>
        <w:t xml:space="preserve"> prescribed fire, and for monitoring, job training, and expertise. </w:t>
      </w:r>
    </w:p>
    <w:bookmarkEnd w:id="11"/>
    <w:bookmarkEnd w:id="12"/>
    <w:p w14:paraId="6634D5A4" w14:textId="3D174255" w:rsidR="00771DC0" w:rsidRPr="0033356B" w:rsidRDefault="00771DC0" w:rsidP="00771DC0">
      <w:pPr>
        <w:pStyle w:val="ListParagraph"/>
        <w:numPr>
          <w:ilvl w:val="0"/>
          <w:numId w:val="21"/>
        </w:numPr>
        <w:rPr>
          <w:rFonts w:cstheme="minorHAnsi"/>
          <w:sz w:val="24"/>
          <w:szCs w:val="24"/>
        </w:rPr>
      </w:pPr>
      <w:r w:rsidRPr="0033356B">
        <w:rPr>
          <w:rFonts w:cstheme="minorHAnsi"/>
          <w:sz w:val="24"/>
          <w:szCs w:val="24"/>
        </w:rPr>
        <w:t>Projects were executed through mechanisms, including but not limited to service contracts, stewardship agreements, Challenge Cost Share Agreement</w:t>
      </w:r>
      <w:r w:rsidR="00E72E30">
        <w:rPr>
          <w:rFonts w:cstheme="minorHAnsi"/>
          <w:sz w:val="24"/>
          <w:szCs w:val="24"/>
        </w:rPr>
        <w:t>s</w:t>
      </w:r>
      <w:r w:rsidRPr="0033356B">
        <w:rPr>
          <w:rFonts w:cstheme="minorHAnsi"/>
          <w:sz w:val="24"/>
          <w:szCs w:val="24"/>
        </w:rPr>
        <w:t xml:space="preserve">, Master Participating Agreements and Supplemental Project Agreements for reforestation, thinning, mastication, burn preparation, piling of hazardous fuels and other treatments. </w:t>
      </w:r>
    </w:p>
    <w:p w14:paraId="13F4EB91" w14:textId="77777777" w:rsidR="00771DC0" w:rsidRPr="003A5F6D" w:rsidRDefault="00771DC0" w:rsidP="00771DC0">
      <w:pPr>
        <w:pStyle w:val="NoSpacing"/>
      </w:pPr>
    </w:p>
    <w:p w14:paraId="35FDDE3C" w14:textId="77777777" w:rsidR="00771DC0" w:rsidRPr="00E72E30" w:rsidRDefault="00771DC0" w:rsidP="00771DC0">
      <w:pPr>
        <w:pStyle w:val="Heading2"/>
        <w:rPr>
          <w:rFonts w:asciiTheme="minorHAnsi" w:hAnsiTheme="minorHAnsi" w:cstheme="minorHAnsi"/>
          <w:b/>
          <w:bCs/>
          <w:i/>
          <w:iCs/>
          <w:color w:val="auto"/>
          <w:sz w:val="24"/>
          <w:szCs w:val="24"/>
        </w:rPr>
      </w:pPr>
      <w:r w:rsidRPr="00E72E30">
        <w:rPr>
          <w:rFonts w:asciiTheme="minorHAnsi" w:hAnsiTheme="minorHAnsi" w:cstheme="minorHAnsi"/>
          <w:b/>
          <w:bCs/>
          <w:i/>
          <w:iCs/>
          <w:color w:val="auto"/>
          <w:sz w:val="24"/>
          <w:szCs w:val="24"/>
        </w:rPr>
        <w:t>Are CFLRP projects more competitive for other funding sources?</w:t>
      </w:r>
    </w:p>
    <w:p w14:paraId="6743855A" w14:textId="77777777" w:rsidR="00771DC0" w:rsidRDefault="00771DC0" w:rsidP="00771DC0">
      <w:pPr>
        <w:pStyle w:val="ListParagraph"/>
        <w:numPr>
          <w:ilvl w:val="0"/>
          <w:numId w:val="28"/>
        </w:numPr>
        <w:rPr>
          <w:rFonts w:cstheme="minorHAnsi"/>
          <w:bCs/>
          <w:sz w:val="24"/>
          <w:szCs w:val="24"/>
        </w:rPr>
      </w:pPr>
      <w:r w:rsidRPr="0033356B">
        <w:rPr>
          <w:rFonts w:cstheme="minorHAnsi"/>
          <w:bCs/>
          <w:sz w:val="24"/>
          <w:szCs w:val="24"/>
        </w:rPr>
        <w:t>According to agency and stakeholder interviewees, partners were more willing to invest in the landscape with an initial investment and ongoing commitment from the Forest Service.</w:t>
      </w:r>
      <w:r>
        <w:rPr>
          <w:rStyle w:val="FootnoteReference"/>
          <w:rFonts w:cstheme="minorHAnsi"/>
          <w:bCs/>
          <w:sz w:val="24"/>
          <w:szCs w:val="24"/>
        </w:rPr>
        <w:footnoteReference w:id="3"/>
      </w:r>
      <w:r w:rsidRPr="0033356B">
        <w:rPr>
          <w:rFonts w:cstheme="minorHAnsi"/>
          <w:bCs/>
          <w:sz w:val="24"/>
          <w:szCs w:val="24"/>
        </w:rPr>
        <w:t xml:space="preserve"> Stakeholders said CFLRP funding made both the collaborative group and agency more competitive for additional funding sources. Many stakeholders noted they will rely on their increased competitiveness and landscape-focus initiated by CFLRP to continue competing for outside funding streams.</w:t>
      </w:r>
    </w:p>
    <w:p w14:paraId="245FBA91" w14:textId="77777777" w:rsidR="00771DC0" w:rsidRPr="0033356B" w:rsidRDefault="00771DC0" w:rsidP="00771DC0">
      <w:pPr>
        <w:pStyle w:val="ListParagraph"/>
        <w:numPr>
          <w:ilvl w:val="0"/>
          <w:numId w:val="28"/>
        </w:numPr>
        <w:rPr>
          <w:rFonts w:cstheme="minorHAnsi"/>
          <w:bCs/>
          <w:sz w:val="24"/>
          <w:szCs w:val="24"/>
        </w:rPr>
      </w:pPr>
      <w:r w:rsidRPr="0033356B">
        <w:rPr>
          <w:rFonts w:cstheme="minorHAnsi"/>
          <w:bCs/>
          <w:sz w:val="24"/>
          <w:szCs w:val="24"/>
        </w:rPr>
        <w:t>The multi-year commitment to a place gives a landscape credibility and incentivizes partners to focus their capacity and leverage funding in a specific place.</w:t>
      </w:r>
    </w:p>
    <w:p w14:paraId="07852399" w14:textId="77777777" w:rsidR="00771DC0" w:rsidRDefault="00771DC0" w:rsidP="00771DC0">
      <w:pPr>
        <w:pStyle w:val="NoSpacing"/>
      </w:pPr>
    </w:p>
    <w:bookmarkEnd w:id="7"/>
    <w:bookmarkEnd w:id="8"/>
    <w:p w14:paraId="19B34CAC" w14:textId="77777777" w:rsidR="00771DC0" w:rsidRPr="00647303" w:rsidRDefault="00771DC0" w:rsidP="00771DC0">
      <w:pPr>
        <w:pStyle w:val="Heading2"/>
        <w:rPr>
          <w:b/>
          <w:bCs/>
        </w:rPr>
      </w:pPr>
      <w:r w:rsidRPr="00647303">
        <w:rPr>
          <w:b/>
          <w:bCs/>
        </w:rPr>
        <w:t>Where to Learn More</w:t>
      </w:r>
      <w:r>
        <w:rPr>
          <w:b/>
          <w:bCs/>
        </w:rPr>
        <w:t xml:space="preserve"> </w:t>
      </w:r>
      <w:r w:rsidRPr="00041F67">
        <w:rPr>
          <w:b/>
          <w:bCs/>
          <w:i/>
          <w:iCs/>
        </w:rPr>
        <w:t xml:space="preserve">(selected resources from </w:t>
      </w:r>
      <w:hyperlink r:id="rId11" w:history="1">
        <w:r w:rsidRPr="00041F67">
          <w:rPr>
            <w:rStyle w:val="Hyperlink"/>
            <w:b/>
            <w:bCs/>
            <w:i/>
            <w:iCs/>
          </w:rPr>
          <w:t>CFLRP Results and Lessons Learned</w:t>
        </w:r>
      </w:hyperlink>
      <w:r w:rsidRPr="00041F67">
        <w:rPr>
          <w:b/>
          <w:bCs/>
          <w:i/>
          <w:iCs/>
        </w:rPr>
        <w:t>)</w:t>
      </w:r>
      <w:r>
        <w:rPr>
          <w:b/>
          <w:bCs/>
        </w:rPr>
        <w:t xml:space="preserve"> </w:t>
      </w:r>
    </w:p>
    <w:p w14:paraId="0E911CC8" w14:textId="77777777" w:rsidR="00771DC0" w:rsidRPr="003A5F6D" w:rsidRDefault="00771DC0" w:rsidP="00771DC0">
      <w:r w:rsidRPr="00272EF5">
        <w:rPr>
          <w:noProof/>
        </w:rPr>
        <mc:AlternateContent>
          <mc:Choice Requires="wps">
            <w:drawing>
              <wp:inline distT="0" distB="0" distL="0" distR="0" wp14:anchorId="61305C96" wp14:editId="7314A320">
                <wp:extent cx="6134986" cy="702259"/>
                <wp:effectExtent l="0" t="0" r="18415" b="22225"/>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986" cy="702259"/>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16493CC" w14:textId="4004DB11" w:rsidR="00771DC0" w:rsidRDefault="00771DC0" w:rsidP="00771DC0">
                            <w:pPr>
                              <w:pStyle w:val="NoSpacing"/>
                              <w:numPr>
                                <w:ilvl w:val="0"/>
                                <w:numId w:val="22"/>
                              </w:numPr>
                            </w:pPr>
                            <w:r>
                              <w:t xml:space="preserve">Description of local resources leveraged captured in </w:t>
                            </w:r>
                            <w:hyperlink r:id="rId12" w:history="1">
                              <w:r w:rsidR="006D5E5F" w:rsidRPr="006D5E5F">
                                <w:rPr>
                                  <w:rStyle w:val="Hyperlink"/>
                                </w:rPr>
                                <w:t xml:space="preserve">CFLRP </w:t>
                              </w:r>
                              <w:r w:rsidRPr="006D5E5F">
                                <w:rPr>
                                  <w:rStyle w:val="Hyperlink"/>
                                </w:rPr>
                                <w:t>Annual Reports</w:t>
                              </w:r>
                            </w:hyperlink>
                            <w:r>
                              <w:t xml:space="preserve"> (Question 1)</w:t>
                            </w:r>
                          </w:p>
                          <w:p w14:paraId="1A86DD24" w14:textId="383C11B0" w:rsidR="00771DC0" w:rsidRDefault="00771DC0" w:rsidP="00771DC0">
                            <w:pPr>
                              <w:pStyle w:val="NoSpacing"/>
                              <w:numPr>
                                <w:ilvl w:val="0"/>
                                <w:numId w:val="22"/>
                              </w:numPr>
                            </w:pPr>
                            <w:r>
                              <w:t xml:space="preserve">Additional project-level examples of leveraging local resources are </w:t>
                            </w:r>
                            <w:r w:rsidR="006D5E5F">
                              <w:t>available on</w:t>
                            </w:r>
                            <w:r>
                              <w:t xml:space="preserve"> the </w:t>
                            </w:r>
                            <w:hyperlink r:id="rId13" w:history="1">
                              <w:r w:rsidRPr="006D5E5F">
                                <w:rPr>
                                  <w:rStyle w:val="Hyperlink"/>
                                </w:rPr>
                                <w:t>CFLRP Resource Library</w:t>
                              </w:r>
                            </w:hyperlink>
                          </w:p>
                          <w:p w14:paraId="42DE745C" w14:textId="77777777" w:rsidR="00771DC0" w:rsidRPr="0002672C" w:rsidRDefault="00771DC0" w:rsidP="00771DC0">
                            <w:pPr>
                              <w:pStyle w:val="NoSpacing"/>
                              <w:ind w:left="720"/>
                            </w:pPr>
                          </w:p>
                        </w:txbxContent>
                      </wps:txbx>
                      <wps:bodyPr rot="0" vert="horz" wrap="square" lIns="91440" tIns="45720" rIns="91440" bIns="45720" anchor="t" anchorCtr="0">
                        <a:noAutofit/>
                      </wps:bodyPr>
                    </wps:wsp>
                  </a:graphicData>
                </a:graphic>
              </wp:inline>
            </w:drawing>
          </mc:Choice>
          <mc:Fallback>
            <w:pict>
              <v:shape w14:anchorId="61305C96" id="Text Box 2" o:spid="_x0000_s1030" type="#_x0000_t202" style="width:483.05pt;height:55.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" fillcolor="white [3201]" strokecolor="#4472c4 [3204]" strokeweight="1pt">
                <v:textbox>
                  <w:txbxContent>
                    <w:p w14:paraId="516493CC" w14:textId="4004DB11" w:rsidR="00771DC0" w:rsidRDefault="00771DC0" w:rsidP="00771DC0">
                      <w:pPr>
                        <w:pStyle w:val="NoSpacing"/>
                        <w:numPr>
                          <w:ilvl w:val="0"/>
                          <w:numId w:val="22"/>
                        </w:numPr>
                      </w:pPr>
                      <w:r>
                        <w:t xml:space="preserve">Description of local resources leveraged captured in </w:t>
                      </w:r>
                      <w:hyperlink r:id="rId14" w:history="1">
                        <w:r w:rsidR="006D5E5F" w:rsidRPr="006D5E5F">
                          <w:rPr>
                            <w:rStyle w:val="Hyperlink"/>
                          </w:rPr>
                          <w:t xml:space="preserve">CFLRP </w:t>
                        </w:r>
                        <w:r w:rsidRPr="006D5E5F">
                          <w:rPr>
                            <w:rStyle w:val="Hyperlink"/>
                          </w:rPr>
                          <w:t>Annual Reports</w:t>
                        </w:r>
                      </w:hyperlink>
                      <w:r>
                        <w:t xml:space="preserve"> (Question 1)</w:t>
                      </w:r>
                    </w:p>
                    <w:p w14:paraId="1A86DD24" w14:textId="383C11B0" w:rsidR="00771DC0" w:rsidRDefault="00771DC0" w:rsidP="00771DC0">
                      <w:pPr>
                        <w:pStyle w:val="NoSpacing"/>
                        <w:numPr>
                          <w:ilvl w:val="0"/>
                          <w:numId w:val="22"/>
                        </w:numPr>
                      </w:pPr>
                      <w:r>
                        <w:t xml:space="preserve">Additional project-level examples of leveraging local resources are </w:t>
                      </w:r>
                      <w:r w:rsidR="006D5E5F">
                        <w:t>available on</w:t>
                      </w:r>
                      <w:r>
                        <w:t xml:space="preserve"> the </w:t>
                      </w:r>
                      <w:hyperlink r:id="rId15" w:history="1">
                        <w:r w:rsidRPr="006D5E5F">
                          <w:rPr>
                            <w:rStyle w:val="Hyperlink"/>
                          </w:rPr>
                          <w:t>CFLRP Resource Library</w:t>
                        </w:r>
                      </w:hyperlink>
                    </w:p>
                    <w:p w14:paraId="42DE745C" w14:textId="77777777" w:rsidR="00771DC0" w:rsidRPr="0002672C" w:rsidRDefault="00771DC0" w:rsidP="00771DC0">
                      <w:pPr>
                        <w:pStyle w:val="NoSpacing"/>
                        <w:ind w:left="720"/>
                      </w:pPr>
                    </w:p>
                  </w:txbxContent>
                </v:textbox>
                <w10:anchorlock/>
              </v:shape>
            </w:pict>
          </mc:Fallback>
        </mc:AlternateContent>
      </w:r>
    </w:p>
    <w:p w14:paraId="7009E445" w14:textId="77777777" w:rsidR="00771DC0" w:rsidRDefault="00771DC0" w:rsidP="00771DC0">
      <w:pPr>
        <w:pStyle w:val="NoSpacing"/>
      </w:pPr>
      <w:bookmarkStart w:id="13" w:name="_Next_Steps:"/>
      <w:bookmarkStart w:id="14" w:name="_Toc48740495"/>
      <w:bookmarkEnd w:id="2"/>
      <w:bookmarkEnd w:id="13"/>
    </w:p>
    <w:p w14:paraId="46870D13" w14:textId="77777777" w:rsidR="00771DC0" w:rsidRDefault="00771DC0" w:rsidP="00771DC0">
      <w:pPr>
        <w:pStyle w:val="Heading2"/>
        <w:rPr>
          <w:b/>
          <w:bCs/>
        </w:rPr>
      </w:pPr>
      <w:r w:rsidRPr="00647303">
        <w:rPr>
          <w:b/>
          <w:bCs/>
        </w:rPr>
        <w:t>Next Steps:</w:t>
      </w:r>
      <w:bookmarkEnd w:id="14"/>
    </w:p>
    <w:p w14:paraId="460D5BDB" w14:textId="77777777" w:rsidR="00771DC0" w:rsidRPr="0033356B" w:rsidRDefault="00771DC0" w:rsidP="00771DC0">
      <w:pPr>
        <w:pStyle w:val="ListParagraph"/>
        <w:numPr>
          <w:ilvl w:val="0"/>
          <w:numId w:val="20"/>
        </w:numPr>
        <w:rPr>
          <w:rFonts w:cstheme="minorHAnsi"/>
          <w:bCs/>
          <w:sz w:val="24"/>
          <w:szCs w:val="24"/>
        </w:rPr>
      </w:pPr>
      <w:r w:rsidRPr="0033356B">
        <w:rPr>
          <w:rFonts w:cstheme="minorHAnsi"/>
          <w:bCs/>
          <w:sz w:val="24"/>
          <w:szCs w:val="24"/>
        </w:rPr>
        <w:t xml:space="preserve">Multi-year funding enables projects to leverage partner </w:t>
      </w:r>
      <w:r>
        <w:rPr>
          <w:rFonts w:cstheme="minorHAnsi"/>
          <w:bCs/>
          <w:sz w:val="24"/>
          <w:szCs w:val="24"/>
        </w:rPr>
        <w:t>resources</w:t>
      </w:r>
      <w:r w:rsidRPr="0033356B">
        <w:rPr>
          <w:rFonts w:cstheme="minorHAnsi"/>
          <w:bCs/>
          <w:sz w:val="24"/>
          <w:szCs w:val="24"/>
        </w:rPr>
        <w:t xml:space="preserve"> at the needed scale to make an impact. Commitment maintains projects as a priority</w:t>
      </w:r>
      <w:r>
        <w:rPr>
          <w:rFonts w:cstheme="minorHAnsi"/>
          <w:bCs/>
          <w:sz w:val="24"/>
          <w:szCs w:val="24"/>
        </w:rPr>
        <w:t xml:space="preserve"> and</w:t>
      </w:r>
      <w:r w:rsidRPr="0033356B">
        <w:rPr>
          <w:rFonts w:cstheme="minorHAnsi"/>
          <w:bCs/>
          <w:sz w:val="24"/>
          <w:szCs w:val="24"/>
        </w:rPr>
        <w:t xml:space="preserve"> is a powerful “carrot” for getting to agreement and implementation. </w:t>
      </w:r>
      <w:r>
        <w:rPr>
          <w:rFonts w:cstheme="minorHAnsi"/>
          <w:bCs/>
          <w:sz w:val="24"/>
          <w:szCs w:val="24"/>
        </w:rPr>
        <w:t>L</w:t>
      </w:r>
      <w:r w:rsidRPr="0033356B">
        <w:rPr>
          <w:rFonts w:cstheme="minorHAnsi"/>
          <w:bCs/>
          <w:sz w:val="24"/>
          <w:szCs w:val="24"/>
        </w:rPr>
        <w:t xml:space="preserve">eadership support, staff capacity, and partnership skills are </w:t>
      </w:r>
      <w:r>
        <w:rPr>
          <w:rFonts w:cstheme="minorHAnsi"/>
          <w:bCs/>
          <w:sz w:val="24"/>
          <w:szCs w:val="24"/>
        </w:rPr>
        <w:t>key</w:t>
      </w:r>
      <w:r w:rsidRPr="0033356B">
        <w:rPr>
          <w:rFonts w:cstheme="minorHAnsi"/>
          <w:bCs/>
          <w:sz w:val="24"/>
          <w:szCs w:val="24"/>
        </w:rPr>
        <w:t>.</w:t>
      </w:r>
    </w:p>
    <w:p w14:paraId="0989C51E" w14:textId="77777777" w:rsidR="00771DC0" w:rsidRPr="0033356B" w:rsidRDefault="00771DC0" w:rsidP="00771DC0">
      <w:pPr>
        <w:pStyle w:val="ListParagraph"/>
        <w:numPr>
          <w:ilvl w:val="0"/>
          <w:numId w:val="20"/>
        </w:numPr>
        <w:rPr>
          <w:rFonts w:cstheme="minorHAnsi"/>
          <w:bCs/>
          <w:sz w:val="24"/>
          <w:szCs w:val="24"/>
        </w:rPr>
      </w:pPr>
      <w:r w:rsidRPr="0033356B">
        <w:rPr>
          <w:rFonts w:cstheme="minorHAnsi"/>
          <w:bCs/>
          <w:sz w:val="24"/>
          <w:szCs w:val="24"/>
        </w:rPr>
        <w:t>Program staff are assessing ongoing challenges, identifying opportunities to address those challenges, and carrying out next steps with colleagues and partners</w:t>
      </w:r>
      <w:bookmarkEnd w:id="3"/>
    </w:p>
    <w:p w14:paraId="4FA637B3" w14:textId="77777777" w:rsidR="00771DC0" w:rsidRPr="00771DC0" w:rsidRDefault="00771DC0" w:rsidP="00771DC0"/>
    <w:sectPr w:rsidR="00771DC0" w:rsidRPr="00771DC0" w:rsidSect="00647303">
      <w:footerReference w:type="default" r:id="rId1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0C3BDB3" w14:textId="77777777" w:rsidR="005E1985" w:rsidRDefault="005E1985" w:rsidP="00BB0C7E">
      <w:pPr>
        <w:spacing w:after="0"/>
      </w:pPr>
      <w:r>
        <w:separator/>
      </w:r>
    </w:p>
  </w:endnote>
  <w:endnote w:type="continuationSeparator" w:id="0">
    <w:p w14:paraId="03CC4E3B" w14:textId="77777777" w:rsidR="005E1985" w:rsidRDefault="005E1985" w:rsidP="00BB0C7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19036480"/>
      <w:docPartObj>
        <w:docPartGallery w:val="Page Numbers (Bottom of Page)"/>
        <w:docPartUnique/>
      </w:docPartObj>
    </w:sdtPr>
    <w:sdtEndPr>
      <w:rPr>
        <w:noProof/>
      </w:rPr>
    </w:sdtEndPr>
    <w:sdtContent>
      <w:p w14:paraId="18636CA6" w14:textId="304BD0D7" w:rsidR="00E72E30" w:rsidRDefault="00E72E3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0216641" w14:textId="77777777" w:rsidR="00E72E30" w:rsidRDefault="00E72E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FC9746" w14:textId="77777777" w:rsidR="005E1985" w:rsidRDefault="005E1985" w:rsidP="00BB0C7E">
      <w:pPr>
        <w:spacing w:after="0"/>
      </w:pPr>
      <w:r>
        <w:separator/>
      </w:r>
    </w:p>
  </w:footnote>
  <w:footnote w:type="continuationSeparator" w:id="0">
    <w:p w14:paraId="1571E7F3" w14:textId="77777777" w:rsidR="005E1985" w:rsidRDefault="005E1985" w:rsidP="00BB0C7E">
      <w:pPr>
        <w:spacing w:after="0"/>
      </w:pPr>
      <w:r>
        <w:continuationSeparator/>
      </w:r>
    </w:p>
  </w:footnote>
  <w:footnote w:id="1">
    <w:p w14:paraId="5F33CD0E" w14:textId="77777777" w:rsidR="00771DC0" w:rsidRDefault="00771DC0" w:rsidP="00771DC0">
      <w:pPr>
        <w:pStyle w:val="FootnoteText"/>
      </w:pPr>
      <w:r>
        <w:rPr>
          <w:rStyle w:val="FootnoteReference"/>
        </w:rPr>
        <w:footnoteRef/>
      </w:r>
      <w:r>
        <w:t xml:space="preserve"> CFLRP Annual Reports: </w:t>
      </w:r>
      <w:hyperlink r:id="rId1" w:history="1">
        <w:r w:rsidRPr="00A87F75">
          <w:rPr>
            <w:rStyle w:val="Hyperlink"/>
          </w:rPr>
          <w:t>https://www.fs.fed.us/restoration/CFLRP/results.shtml</w:t>
        </w:r>
      </w:hyperlink>
      <w:r>
        <w:t xml:space="preserve"> </w:t>
      </w:r>
    </w:p>
  </w:footnote>
  <w:footnote w:id="2">
    <w:p w14:paraId="614E724B" w14:textId="77777777" w:rsidR="00771DC0" w:rsidRDefault="00771DC0" w:rsidP="00771DC0">
      <w:pPr>
        <w:pStyle w:val="FootnoteText"/>
      </w:pPr>
      <w:r>
        <w:rPr>
          <w:rStyle w:val="FootnoteReference"/>
        </w:rPr>
        <w:footnoteRef/>
      </w:r>
      <w:r>
        <w:t xml:space="preserve"> Ibid</w:t>
      </w:r>
    </w:p>
  </w:footnote>
  <w:footnote w:id="3">
    <w:p w14:paraId="198389C8" w14:textId="77777777" w:rsidR="00771DC0" w:rsidRDefault="00771DC0" w:rsidP="00771DC0">
      <w:pPr>
        <w:pStyle w:val="FootnoteText"/>
      </w:pPr>
      <w:r>
        <w:rPr>
          <w:rStyle w:val="FootnoteReference"/>
        </w:rPr>
        <w:footnoteRef/>
      </w:r>
      <w:r>
        <w:t xml:space="preserve"> </w:t>
      </w:r>
      <w:r w:rsidRPr="00CF1934">
        <w:t xml:space="preserve">“Strategies for Success Under Forest Service Restoration Authorities” </w:t>
      </w:r>
      <w:hyperlink r:id="rId2" w:history="1">
        <w:r w:rsidRPr="00A87F75">
          <w:rPr>
            <w:rStyle w:val="Hyperlink"/>
          </w:rPr>
          <w:t>https://ewp.uoregon.edu/sites/ewp.uoregon.edu/files/WP_81.pdf</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036B3"/>
    <w:multiLevelType w:val="hybridMultilevel"/>
    <w:tmpl w:val="AE3CDD56"/>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15:restartNumberingAfterBreak="0">
    <w:nsid w:val="0E7E3780"/>
    <w:multiLevelType w:val="hybridMultilevel"/>
    <w:tmpl w:val="ACEA0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A719CB"/>
    <w:multiLevelType w:val="hybridMultilevel"/>
    <w:tmpl w:val="51F22F82"/>
    <w:lvl w:ilvl="0" w:tplc="8F9E0B96">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F11BFB"/>
    <w:multiLevelType w:val="hybridMultilevel"/>
    <w:tmpl w:val="F36E4D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A31E1A"/>
    <w:multiLevelType w:val="hybridMultilevel"/>
    <w:tmpl w:val="0638D60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7281C06"/>
    <w:multiLevelType w:val="hybridMultilevel"/>
    <w:tmpl w:val="0698581C"/>
    <w:lvl w:ilvl="0" w:tplc="719CEE2E">
      <w:start w:val="2020"/>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FF5AB2"/>
    <w:multiLevelType w:val="hybridMultilevel"/>
    <w:tmpl w:val="72D00F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CE37A62"/>
    <w:multiLevelType w:val="hybridMultilevel"/>
    <w:tmpl w:val="154EB3EC"/>
    <w:lvl w:ilvl="0" w:tplc="6D6C2844">
      <w:start w:val="2"/>
      <w:numFmt w:val="bullet"/>
      <w:lvlText w:val="-"/>
      <w:lvlJc w:val="left"/>
      <w:pPr>
        <w:ind w:left="720" w:hanging="360"/>
      </w:pPr>
      <w:rPr>
        <w:rFonts w:ascii="Calibri" w:eastAsiaTheme="minorHAnsi" w:hAnsi="Calibri" w:cs="Calibri" w:hint="default"/>
        <w:b/>
        <w:i/>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705AF"/>
    <w:multiLevelType w:val="hybridMultilevel"/>
    <w:tmpl w:val="69847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07664B"/>
    <w:multiLevelType w:val="hybridMultilevel"/>
    <w:tmpl w:val="127EA81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55418E"/>
    <w:multiLevelType w:val="hybridMultilevel"/>
    <w:tmpl w:val="719E42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7C4DA2"/>
    <w:multiLevelType w:val="hybridMultilevel"/>
    <w:tmpl w:val="08B42D44"/>
    <w:lvl w:ilvl="0" w:tplc="1BD636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9E8099A"/>
    <w:multiLevelType w:val="hybridMultilevel"/>
    <w:tmpl w:val="36FCD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14625F3"/>
    <w:multiLevelType w:val="hybridMultilevel"/>
    <w:tmpl w:val="0CC897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3ED68D9"/>
    <w:multiLevelType w:val="hybridMultilevel"/>
    <w:tmpl w:val="3C5CEA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3E0568"/>
    <w:multiLevelType w:val="hybridMultilevel"/>
    <w:tmpl w:val="03EE2578"/>
    <w:lvl w:ilvl="0" w:tplc="9AF8B7BE">
      <w:start w:val="3"/>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4E1738"/>
    <w:multiLevelType w:val="hybridMultilevel"/>
    <w:tmpl w:val="E26E1C20"/>
    <w:lvl w:ilvl="0" w:tplc="A874F7C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ABC17B8"/>
    <w:multiLevelType w:val="hybridMultilevel"/>
    <w:tmpl w:val="4C7CA4D0"/>
    <w:lvl w:ilvl="0" w:tplc="1BD636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33B29A9"/>
    <w:multiLevelType w:val="hybridMultilevel"/>
    <w:tmpl w:val="09BCBB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AA568B"/>
    <w:multiLevelType w:val="hybridMultilevel"/>
    <w:tmpl w:val="9D0EBB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8416511"/>
    <w:multiLevelType w:val="hybridMultilevel"/>
    <w:tmpl w:val="3046504A"/>
    <w:lvl w:ilvl="0" w:tplc="A874F7C0">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9425267"/>
    <w:multiLevelType w:val="hybridMultilevel"/>
    <w:tmpl w:val="EDF8D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AFE6AD2"/>
    <w:multiLevelType w:val="hybridMultilevel"/>
    <w:tmpl w:val="AE0ECD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036A41"/>
    <w:multiLevelType w:val="hybridMultilevel"/>
    <w:tmpl w:val="0C020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4791447"/>
    <w:multiLevelType w:val="hybridMultilevel"/>
    <w:tmpl w:val="3EBAC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B054F82"/>
    <w:multiLevelType w:val="hybridMultilevel"/>
    <w:tmpl w:val="092AD1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B635BE3"/>
    <w:multiLevelType w:val="hybridMultilevel"/>
    <w:tmpl w:val="B5BA56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E902F8B"/>
    <w:multiLevelType w:val="hybridMultilevel"/>
    <w:tmpl w:val="D66ED99E"/>
    <w:lvl w:ilvl="0" w:tplc="1BD6364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4"/>
  </w:num>
  <w:num w:numId="3">
    <w:abstractNumId w:val="21"/>
  </w:num>
  <w:num w:numId="4">
    <w:abstractNumId w:val="10"/>
  </w:num>
  <w:num w:numId="5">
    <w:abstractNumId w:val="0"/>
  </w:num>
  <w:num w:numId="6">
    <w:abstractNumId w:val="3"/>
  </w:num>
  <w:num w:numId="7">
    <w:abstractNumId w:val="22"/>
  </w:num>
  <w:num w:numId="8">
    <w:abstractNumId w:val="19"/>
  </w:num>
  <w:num w:numId="9">
    <w:abstractNumId w:val="8"/>
  </w:num>
  <w:num w:numId="10">
    <w:abstractNumId w:val="18"/>
  </w:num>
  <w:num w:numId="11">
    <w:abstractNumId w:val="4"/>
  </w:num>
  <w:num w:numId="12">
    <w:abstractNumId w:val="26"/>
  </w:num>
  <w:num w:numId="13">
    <w:abstractNumId w:val="1"/>
  </w:num>
  <w:num w:numId="14">
    <w:abstractNumId w:val="13"/>
  </w:num>
  <w:num w:numId="15">
    <w:abstractNumId w:val="25"/>
  </w:num>
  <w:num w:numId="16">
    <w:abstractNumId w:val="23"/>
  </w:num>
  <w:num w:numId="17">
    <w:abstractNumId w:val="14"/>
  </w:num>
  <w:num w:numId="18">
    <w:abstractNumId w:val="9"/>
  </w:num>
  <w:num w:numId="19">
    <w:abstractNumId w:val="12"/>
  </w:num>
  <w:num w:numId="20">
    <w:abstractNumId w:val="2"/>
  </w:num>
  <w:num w:numId="21">
    <w:abstractNumId w:val="7"/>
  </w:num>
  <w:num w:numId="22">
    <w:abstractNumId w:val="15"/>
  </w:num>
  <w:num w:numId="23">
    <w:abstractNumId w:val="5"/>
  </w:num>
  <w:num w:numId="24">
    <w:abstractNumId w:val="27"/>
  </w:num>
  <w:num w:numId="25">
    <w:abstractNumId w:val="11"/>
  </w:num>
  <w:num w:numId="26">
    <w:abstractNumId w:val="16"/>
  </w:num>
  <w:num w:numId="27">
    <w:abstractNumId w:val="20"/>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48"/>
    <w:rsid w:val="000120AD"/>
    <w:rsid w:val="0002246D"/>
    <w:rsid w:val="00041F67"/>
    <w:rsid w:val="0005524C"/>
    <w:rsid w:val="0007617C"/>
    <w:rsid w:val="000B27E7"/>
    <w:rsid w:val="00102FD4"/>
    <w:rsid w:val="001277CD"/>
    <w:rsid w:val="00213E07"/>
    <w:rsid w:val="00254A6D"/>
    <w:rsid w:val="00262550"/>
    <w:rsid w:val="00290428"/>
    <w:rsid w:val="00291377"/>
    <w:rsid w:val="00295FFC"/>
    <w:rsid w:val="002978A4"/>
    <w:rsid w:val="002A3471"/>
    <w:rsid w:val="002B24E9"/>
    <w:rsid w:val="002C38B3"/>
    <w:rsid w:val="002C6CAE"/>
    <w:rsid w:val="00312577"/>
    <w:rsid w:val="00420755"/>
    <w:rsid w:val="00483AC1"/>
    <w:rsid w:val="004B4D35"/>
    <w:rsid w:val="004E12A4"/>
    <w:rsid w:val="005944CC"/>
    <w:rsid w:val="00597B34"/>
    <w:rsid w:val="005E1985"/>
    <w:rsid w:val="00620389"/>
    <w:rsid w:val="00647303"/>
    <w:rsid w:val="006D518A"/>
    <w:rsid w:val="006D5E5F"/>
    <w:rsid w:val="007179D5"/>
    <w:rsid w:val="00771DC0"/>
    <w:rsid w:val="007C624D"/>
    <w:rsid w:val="007F1439"/>
    <w:rsid w:val="0087127B"/>
    <w:rsid w:val="00917605"/>
    <w:rsid w:val="00922FD5"/>
    <w:rsid w:val="009D5B1F"/>
    <w:rsid w:val="009E583A"/>
    <w:rsid w:val="00A17688"/>
    <w:rsid w:val="00A630BB"/>
    <w:rsid w:val="00A651A1"/>
    <w:rsid w:val="00A72F17"/>
    <w:rsid w:val="00B3262C"/>
    <w:rsid w:val="00B82135"/>
    <w:rsid w:val="00B84E50"/>
    <w:rsid w:val="00B85203"/>
    <w:rsid w:val="00BB0C7E"/>
    <w:rsid w:val="00BB57FB"/>
    <w:rsid w:val="00BC7279"/>
    <w:rsid w:val="00C1305C"/>
    <w:rsid w:val="00C67AF9"/>
    <w:rsid w:val="00C9521D"/>
    <w:rsid w:val="00D40FA5"/>
    <w:rsid w:val="00D855E9"/>
    <w:rsid w:val="00DE26D3"/>
    <w:rsid w:val="00E72E30"/>
    <w:rsid w:val="00EF4891"/>
    <w:rsid w:val="00F06D48"/>
    <w:rsid w:val="00F12042"/>
    <w:rsid w:val="00F840CD"/>
    <w:rsid w:val="00FD50E5"/>
    <w:rsid w:val="00FE72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5FBAF"/>
  <w15:chartTrackingRefBased/>
  <w15:docId w15:val="{8DE7020B-B263-4086-AF3B-C935250037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83A"/>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179D5"/>
    <w:pPr>
      <w:keepNext/>
      <w:keepLines/>
      <w:spacing w:before="40" w:after="0" w:line="259"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2A347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B4D35"/>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D35"/>
    <w:rPr>
      <w:rFonts w:ascii="Segoe UI" w:hAnsi="Segoe UI" w:cs="Segoe UI"/>
      <w:sz w:val="18"/>
      <w:szCs w:val="18"/>
    </w:rPr>
  </w:style>
  <w:style w:type="paragraph" w:styleId="ListParagraph">
    <w:name w:val="List Paragraph"/>
    <w:aliases w:val="Bullet Paragraphs"/>
    <w:basedOn w:val="Normal"/>
    <w:link w:val="ListParagraphChar"/>
    <w:uiPriority w:val="34"/>
    <w:qFormat/>
    <w:rsid w:val="00B85203"/>
    <w:pPr>
      <w:spacing w:after="0"/>
      <w:ind w:left="720"/>
      <w:contextualSpacing/>
    </w:pPr>
  </w:style>
  <w:style w:type="character" w:customStyle="1" w:styleId="ListParagraphChar">
    <w:name w:val="List Paragraph Char"/>
    <w:aliases w:val="Bullet Paragraphs Char"/>
    <w:basedOn w:val="DefaultParagraphFont"/>
    <w:link w:val="ListParagraph"/>
    <w:uiPriority w:val="34"/>
    <w:locked/>
    <w:rsid w:val="00B85203"/>
  </w:style>
  <w:style w:type="character" w:styleId="Hyperlink">
    <w:name w:val="Hyperlink"/>
    <w:basedOn w:val="DefaultParagraphFont"/>
    <w:uiPriority w:val="99"/>
    <w:unhideWhenUsed/>
    <w:rsid w:val="00BB0C7E"/>
    <w:rPr>
      <w:color w:val="0563C1"/>
      <w:u w:val="single"/>
    </w:rPr>
  </w:style>
  <w:style w:type="paragraph" w:styleId="FootnoteText">
    <w:name w:val="footnote text"/>
    <w:basedOn w:val="Normal"/>
    <w:link w:val="FootnoteTextChar"/>
    <w:uiPriority w:val="99"/>
    <w:unhideWhenUsed/>
    <w:rsid w:val="00BB0C7E"/>
    <w:pPr>
      <w:spacing w:after="0"/>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rsid w:val="00BB0C7E"/>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BB0C7E"/>
    <w:rPr>
      <w:vertAlign w:val="superscript"/>
    </w:rPr>
  </w:style>
  <w:style w:type="character" w:customStyle="1" w:styleId="field-content">
    <w:name w:val="field-content"/>
    <w:basedOn w:val="DefaultParagraphFont"/>
    <w:rsid w:val="00BB0C7E"/>
  </w:style>
  <w:style w:type="character" w:styleId="UnresolvedMention">
    <w:name w:val="Unresolved Mention"/>
    <w:basedOn w:val="DefaultParagraphFont"/>
    <w:uiPriority w:val="99"/>
    <w:semiHidden/>
    <w:unhideWhenUsed/>
    <w:rsid w:val="009E583A"/>
    <w:rPr>
      <w:color w:val="605E5C"/>
      <w:shd w:val="clear" w:color="auto" w:fill="E1DFDD"/>
    </w:rPr>
  </w:style>
  <w:style w:type="character" w:customStyle="1" w:styleId="Heading1Char">
    <w:name w:val="Heading 1 Char"/>
    <w:basedOn w:val="DefaultParagraphFont"/>
    <w:link w:val="Heading1"/>
    <w:uiPriority w:val="9"/>
    <w:rsid w:val="009E583A"/>
    <w:rPr>
      <w:rFonts w:asciiTheme="majorHAnsi" w:eastAsiaTheme="majorEastAsia" w:hAnsiTheme="majorHAnsi" w:cstheme="majorBidi"/>
      <w:color w:val="2F5496" w:themeColor="accent1" w:themeShade="BF"/>
      <w:sz w:val="32"/>
      <w:szCs w:val="32"/>
    </w:rPr>
  </w:style>
  <w:style w:type="character" w:styleId="CommentReference">
    <w:name w:val="annotation reference"/>
    <w:basedOn w:val="DefaultParagraphFont"/>
    <w:uiPriority w:val="99"/>
    <w:semiHidden/>
    <w:unhideWhenUsed/>
    <w:rsid w:val="001277CD"/>
    <w:rPr>
      <w:sz w:val="16"/>
      <w:szCs w:val="16"/>
    </w:rPr>
  </w:style>
  <w:style w:type="paragraph" w:styleId="CommentText">
    <w:name w:val="annotation text"/>
    <w:basedOn w:val="Normal"/>
    <w:link w:val="CommentTextChar"/>
    <w:uiPriority w:val="99"/>
    <w:unhideWhenUsed/>
    <w:rsid w:val="001277CD"/>
    <w:pPr>
      <w:spacing w:after="0"/>
    </w:pPr>
    <w:rPr>
      <w:sz w:val="20"/>
      <w:szCs w:val="20"/>
    </w:rPr>
  </w:style>
  <w:style w:type="character" w:customStyle="1" w:styleId="CommentTextChar">
    <w:name w:val="Comment Text Char"/>
    <w:basedOn w:val="DefaultParagraphFont"/>
    <w:link w:val="CommentText"/>
    <w:uiPriority w:val="99"/>
    <w:rsid w:val="001277CD"/>
    <w:rPr>
      <w:sz w:val="20"/>
      <w:szCs w:val="20"/>
    </w:rPr>
  </w:style>
  <w:style w:type="character" w:customStyle="1" w:styleId="Heading2Char">
    <w:name w:val="Heading 2 Char"/>
    <w:basedOn w:val="DefaultParagraphFont"/>
    <w:link w:val="Heading2"/>
    <w:uiPriority w:val="9"/>
    <w:rsid w:val="007179D5"/>
    <w:rPr>
      <w:rFonts w:asciiTheme="majorHAnsi" w:eastAsiaTheme="majorEastAsia" w:hAnsiTheme="majorHAnsi" w:cstheme="majorBidi"/>
      <w:color w:val="2F5496" w:themeColor="accent1" w:themeShade="BF"/>
      <w:sz w:val="26"/>
      <w:szCs w:val="26"/>
    </w:rPr>
  </w:style>
  <w:style w:type="paragraph" w:styleId="NoSpacing">
    <w:name w:val="No Spacing"/>
    <w:link w:val="NoSpacingChar"/>
    <w:uiPriority w:val="1"/>
    <w:qFormat/>
    <w:rsid w:val="007179D5"/>
    <w:pPr>
      <w:spacing w:after="0"/>
    </w:pPr>
  </w:style>
  <w:style w:type="character" w:customStyle="1" w:styleId="NoSpacingChar">
    <w:name w:val="No Spacing Char"/>
    <w:basedOn w:val="DefaultParagraphFont"/>
    <w:link w:val="NoSpacing"/>
    <w:uiPriority w:val="1"/>
    <w:rsid w:val="007179D5"/>
  </w:style>
  <w:style w:type="character" w:customStyle="1" w:styleId="Heading3Char">
    <w:name w:val="Heading 3 Char"/>
    <w:basedOn w:val="DefaultParagraphFont"/>
    <w:link w:val="Heading3"/>
    <w:uiPriority w:val="9"/>
    <w:rsid w:val="002A3471"/>
    <w:rPr>
      <w:rFonts w:asciiTheme="majorHAnsi" w:eastAsiaTheme="majorEastAsia" w:hAnsiTheme="majorHAnsi" w:cstheme="majorBidi"/>
      <w:color w:val="1F3763" w:themeColor="accent1" w:themeShade="7F"/>
      <w:sz w:val="24"/>
      <w:szCs w:val="24"/>
    </w:rPr>
  </w:style>
  <w:style w:type="paragraph" w:customStyle="1" w:styleId="EndnoteText1">
    <w:name w:val="Endnote Text1"/>
    <w:basedOn w:val="Normal"/>
    <w:next w:val="EndnoteText"/>
    <w:link w:val="EndnoteTextChar"/>
    <w:uiPriority w:val="99"/>
    <w:semiHidden/>
    <w:unhideWhenUsed/>
    <w:rsid w:val="002A3471"/>
    <w:pPr>
      <w:spacing w:after="0"/>
    </w:pPr>
    <w:rPr>
      <w:sz w:val="20"/>
      <w:szCs w:val="20"/>
    </w:rPr>
  </w:style>
  <w:style w:type="character" w:customStyle="1" w:styleId="EndnoteTextChar">
    <w:name w:val="Endnote Text Char"/>
    <w:basedOn w:val="DefaultParagraphFont"/>
    <w:link w:val="EndnoteText1"/>
    <w:uiPriority w:val="99"/>
    <w:semiHidden/>
    <w:rsid w:val="002A3471"/>
    <w:rPr>
      <w:sz w:val="20"/>
      <w:szCs w:val="20"/>
    </w:rPr>
  </w:style>
  <w:style w:type="paragraph" w:styleId="EndnoteText">
    <w:name w:val="endnote text"/>
    <w:basedOn w:val="Normal"/>
    <w:link w:val="EndnoteTextChar1"/>
    <w:uiPriority w:val="99"/>
    <w:semiHidden/>
    <w:unhideWhenUsed/>
    <w:rsid w:val="002A3471"/>
    <w:pPr>
      <w:spacing w:after="0"/>
    </w:pPr>
    <w:rPr>
      <w:sz w:val="20"/>
      <w:szCs w:val="20"/>
    </w:rPr>
  </w:style>
  <w:style w:type="character" w:customStyle="1" w:styleId="EndnoteTextChar1">
    <w:name w:val="Endnote Text Char1"/>
    <w:basedOn w:val="DefaultParagraphFont"/>
    <w:link w:val="EndnoteText"/>
    <w:uiPriority w:val="99"/>
    <w:semiHidden/>
    <w:rsid w:val="002A3471"/>
    <w:rPr>
      <w:sz w:val="20"/>
      <w:szCs w:val="20"/>
    </w:rPr>
  </w:style>
  <w:style w:type="paragraph" w:styleId="CommentSubject">
    <w:name w:val="annotation subject"/>
    <w:basedOn w:val="CommentText"/>
    <w:next w:val="CommentText"/>
    <w:link w:val="CommentSubjectChar"/>
    <w:uiPriority w:val="99"/>
    <w:semiHidden/>
    <w:unhideWhenUsed/>
    <w:rsid w:val="00BC7279"/>
    <w:pPr>
      <w:spacing w:after="80"/>
    </w:pPr>
    <w:rPr>
      <w:b/>
      <w:bCs/>
    </w:rPr>
  </w:style>
  <w:style w:type="character" w:customStyle="1" w:styleId="CommentSubjectChar">
    <w:name w:val="Comment Subject Char"/>
    <w:basedOn w:val="CommentTextChar"/>
    <w:link w:val="CommentSubject"/>
    <w:uiPriority w:val="99"/>
    <w:semiHidden/>
    <w:rsid w:val="00BC7279"/>
    <w:rPr>
      <w:b/>
      <w:bCs/>
      <w:sz w:val="20"/>
      <w:szCs w:val="20"/>
    </w:rPr>
  </w:style>
  <w:style w:type="paragraph" w:styleId="Caption">
    <w:name w:val="caption"/>
    <w:basedOn w:val="Normal"/>
    <w:next w:val="Normal"/>
    <w:uiPriority w:val="35"/>
    <w:unhideWhenUsed/>
    <w:qFormat/>
    <w:rsid w:val="00BC7279"/>
    <w:pPr>
      <w:spacing w:after="200"/>
    </w:pPr>
    <w:rPr>
      <w:i/>
      <w:iCs/>
      <w:color w:val="44546A" w:themeColor="text2"/>
      <w:sz w:val="18"/>
      <w:szCs w:val="18"/>
    </w:rPr>
  </w:style>
  <w:style w:type="character" w:styleId="FollowedHyperlink">
    <w:name w:val="FollowedHyperlink"/>
    <w:basedOn w:val="DefaultParagraphFont"/>
    <w:uiPriority w:val="99"/>
    <w:semiHidden/>
    <w:unhideWhenUsed/>
    <w:rsid w:val="00DE26D3"/>
    <w:rPr>
      <w:color w:val="954F72" w:themeColor="followedHyperlink"/>
      <w:u w:val="single"/>
    </w:rPr>
  </w:style>
  <w:style w:type="paragraph" w:styleId="Subtitle">
    <w:name w:val="Subtitle"/>
    <w:basedOn w:val="Normal"/>
    <w:next w:val="Normal"/>
    <w:link w:val="SubtitleChar"/>
    <w:uiPriority w:val="11"/>
    <w:qFormat/>
    <w:rsid w:val="00483AC1"/>
    <w:pPr>
      <w:numPr>
        <w:ilvl w:val="1"/>
      </w:numPr>
      <w:spacing w:after="160" w:line="259" w:lineRule="auto"/>
      <w:ind w:left="720"/>
    </w:pPr>
    <w:rPr>
      <w:rFonts w:eastAsiaTheme="minorEastAsia"/>
      <w:color w:val="F2F2F2" w:themeColor="background1" w:themeShade="F2"/>
      <w:spacing w:val="15"/>
      <w:sz w:val="48"/>
    </w:rPr>
  </w:style>
  <w:style w:type="character" w:customStyle="1" w:styleId="SubtitleChar">
    <w:name w:val="Subtitle Char"/>
    <w:basedOn w:val="DefaultParagraphFont"/>
    <w:link w:val="Subtitle"/>
    <w:uiPriority w:val="11"/>
    <w:rsid w:val="00483AC1"/>
    <w:rPr>
      <w:rFonts w:eastAsiaTheme="minorEastAsia"/>
      <w:color w:val="F2F2F2" w:themeColor="background1" w:themeShade="F2"/>
      <w:spacing w:val="15"/>
      <w:sz w:val="48"/>
    </w:rPr>
  </w:style>
  <w:style w:type="paragraph" w:styleId="Header">
    <w:name w:val="header"/>
    <w:basedOn w:val="Normal"/>
    <w:link w:val="HeaderChar"/>
    <w:uiPriority w:val="99"/>
    <w:unhideWhenUsed/>
    <w:rsid w:val="00E72E30"/>
    <w:pPr>
      <w:tabs>
        <w:tab w:val="center" w:pos="4680"/>
        <w:tab w:val="right" w:pos="9360"/>
      </w:tabs>
      <w:spacing w:after="0"/>
    </w:pPr>
  </w:style>
  <w:style w:type="character" w:customStyle="1" w:styleId="HeaderChar">
    <w:name w:val="Header Char"/>
    <w:basedOn w:val="DefaultParagraphFont"/>
    <w:link w:val="Header"/>
    <w:uiPriority w:val="99"/>
    <w:rsid w:val="00E72E30"/>
  </w:style>
  <w:style w:type="paragraph" w:styleId="Footer">
    <w:name w:val="footer"/>
    <w:basedOn w:val="Normal"/>
    <w:link w:val="FooterChar"/>
    <w:uiPriority w:val="99"/>
    <w:unhideWhenUsed/>
    <w:rsid w:val="00E72E30"/>
    <w:pPr>
      <w:tabs>
        <w:tab w:val="center" w:pos="4680"/>
        <w:tab w:val="right" w:pos="9360"/>
      </w:tabs>
      <w:spacing w:after="0"/>
    </w:pPr>
  </w:style>
  <w:style w:type="character" w:customStyle="1" w:styleId="FooterChar">
    <w:name w:val="Footer Char"/>
    <w:basedOn w:val="DefaultParagraphFont"/>
    <w:link w:val="Footer"/>
    <w:uiPriority w:val="99"/>
    <w:rsid w:val="00E72E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www.fs.fed.us/restoration/CFLRP/resource-library.php"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s.fed.us/restoration/CFLRP/results.shtm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s.fed.us/restoration/documents/cflrp/CFLRP_LessonsLearnedCompiled20201016.pdf" TargetMode="External"/><Relationship Id="rId5" Type="http://schemas.openxmlformats.org/officeDocument/2006/relationships/webSettings" Target="webSettings.xml"/><Relationship Id="rId15" Type="http://schemas.openxmlformats.org/officeDocument/2006/relationships/hyperlink" Target="https://www.fs.fed.us/restoration/CFLRP/resource-library.php" TargetMode="Externa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hyperlink" Target="https://www.fs.fed.us/restoration/documents/cflrp/CFLRP_LessonsLearnedCompiled20201016.pdf" TargetMode="External"/><Relationship Id="rId14" Type="http://schemas.openxmlformats.org/officeDocument/2006/relationships/hyperlink" Target="https://www.fs.fed.us/restoration/CFLRP/results.shtml"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ewp.uoregon.edu/sites/ewp.uoregon.edu/files/WP_81.pdf" TargetMode="External"/><Relationship Id="rId1" Type="http://schemas.openxmlformats.org/officeDocument/2006/relationships/hyperlink" Target="https://www.fs.fed.us/restoration/CFLRP/results.shtml" TargetMode="External"/></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C:\Users\sdantewood\Documents\CFLRP%20Detail%202019\Local%20Resources\Q1_CFLRP%20Expenditure%20Tracking_ByProject_SP%202%2019%202020%20(not%20my%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en-US" sz="1100"/>
              <a:t>Total CFLRP Project Funding Expended</a:t>
            </a:r>
          </a:p>
          <a:p>
            <a:pPr>
              <a:defRPr sz="1000"/>
            </a:pPr>
            <a:r>
              <a:rPr lang="en-US" sz="1100"/>
              <a:t> (FY 2010 - 2019)</a:t>
            </a:r>
          </a:p>
          <a:p>
            <a:pPr>
              <a:defRPr sz="1000"/>
            </a:pPr>
            <a:endParaRPr lang="en-US" sz="1000"/>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dPt>
            <c:idx val="0"/>
            <c:bubble3D val="0"/>
            <c:spPr>
              <a:solidFill>
                <a:srgbClr val="C0000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6E90-435E-96F1-490DEEDC4D4B}"/>
              </c:ext>
            </c:extLst>
          </c:dPt>
          <c:dPt>
            <c:idx val="1"/>
            <c:bubble3D val="0"/>
            <c:spPr>
              <a:solidFill>
                <a:srgbClr val="0070C0"/>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6E90-435E-96F1-490DEEDC4D4B}"/>
              </c:ext>
            </c:extLst>
          </c:dPt>
          <c:dPt>
            <c:idx val="2"/>
            <c:bubble3D val="0"/>
            <c:spPr>
              <a:solidFill>
                <a:schemeClr val="accent3"/>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5-6E90-435E-96F1-490DEEDC4D4B}"/>
              </c:ext>
            </c:extLst>
          </c:dPt>
          <c:dPt>
            <c:idx val="3"/>
            <c:bubble3D val="0"/>
            <c:spPr>
              <a:solidFill>
                <a:schemeClr val="accent4"/>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7-6E90-435E-96F1-490DEEDC4D4B}"/>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'2019 Totals'!$A$24:$A$27</c:f>
              <c:strCache>
                <c:ptCount val="4"/>
                <c:pt idx="0">
                  <c:v>FS CFLRP Funding</c:v>
                </c:pt>
                <c:pt idx="1">
                  <c:v>Other FS Funding</c:v>
                </c:pt>
                <c:pt idx="2">
                  <c:v>Partner Match </c:v>
                </c:pt>
                <c:pt idx="3">
                  <c:v>Goods for Services</c:v>
                </c:pt>
              </c:strCache>
            </c:strRef>
          </c:cat>
          <c:val>
            <c:numRef>
              <c:f>'2019 Totals'!$B$24:$B$27</c:f>
              <c:numCache>
                <c:formatCode>"$"#,##0</c:formatCode>
                <c:ptCount val="4"/>
                <c:pt idx="0">
                  <c:v>264852109.40000004</c:v>
                </c:pt>
                <c:pt idx="1">
                  <c:v>669821845.58299994</c:v>
                </c:pt>
                <c:pt idx="2">
                  <c:v>470548356.60699999</c:v>
                </c:pt>
                <c:pt idx="3">
                  <c:v>84271025.290000007</c:v>
                </c:pt>
              </c:numCache>
            </c:numRef>
          </c:val>
          <c:extLst>
            <c:ext xmlns:c16="http://schemas.microsoft.com/office/drawing/2014/chart" uri="{C3380CC4-5D6E-409C-BE32-E72D297353CC}">
              <c16:uniqueId val="{00000008-6E90-435E-96F1-490DEEDC4D4B}"/>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1000" b="0" i="0" u="none" strike="noStrike" kern="1200" baseline="0">
              <a:solidFill>
                <a:schemeClr val="dk1">
                  <a:lumMod val="75000"/>
                  <a:lumOff val="2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ysClr val="window" lastClr="FFFFFF">
          <a:lumMod val="75000"/>
        </a:sysClr>
      </a:solidFill>
      <a:round/>
    </a:ln>
    <a:effectLst/>
  </c:spPr>
  <c:txPr>
    <a:bodyPr/>
    <a:lstStyle/>
    <a:p>
      <a:pPr>
        <a:defRPr/>
      </a:pPr>
      <a:endParaRPr lang="en-US"/>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317ED-C083-4049-B8C6-D5EC05B2B3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768</Words>
  <Characters>4378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CFLRP 10 Year Results and Lessons Learned Summary Series - Leveraging Resources</dc:title>
  <dc:subject/>
  <dc:creator>Logan, Brian -FS</dc:creator>
  <cp:keywords/>
  <dc:description/>
  <cp:lastModifiedBy>Bancroft, Kris -FS</cp:lastModifiedBy>
  <cp:revision>2</cp:revision>
  <dcterms:created xsi:type="dcterms:W3CDTF">2020-12-08T14:46:00Z</dcterms:created>
  <dcterms:modified xsi:type="dcterms:W3CDTF">2020-12-08T14:46:00Z</dcterms:modified>
</cp:coreProperties>
</file>