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6D062" w14:textId="1A547EC3" w:rsidR="00777955" w:rsidRDefault="00777955" w:rsidP="00647303">
      <w:pPr>
        <w:pStyle w:val="Heading2"/>
        <w:jc w:val="center"/>
        <w:rPr>
          <w:b/>
          <w:bCs/>
          <w:noProof/>
        </w:rPr>
      </w:pPr>
      <w:r>
        <w:rPr>
          <w:noProof/>
        </w:rPr>
        <mc:AlternateContent>
          <mc:Choice Requires="wps">
            <w:drawing>
              <wp:anchor distT="0" distB="0" distL="114300" distR="114300" simplePos="0" relativeHeight="251662336" behindDoc="0" locked="0" layoutInCell="1" allowOverlap="1" wp14:anchorId="050FC0E1" wp14:editId="0CDA0B10">
                <wp:simplePos x="0" y="0"/>
                <wp:positionH relativeFrom="margin">
                  <wp:posOffset>0</wp:posOffset>
                </wp:positionH>
                <wp:positionV relativeFrom="paragraph">
                  <wp:posOffset>3157855</wp:posOffset>
                </wp:positionV>
                <wp:extent cx="4083685" cy="810260"/>
                <wp:effectExtent l="0" t="0" r="0" b="889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83685" cy="810260"/>
                        </a:xfrm>
                        <a:prstGeom prst="rect">
                          <a:avLst/>
                        </a:prstGeom>
                        <a:solidFill>
                          <a:schemeClr val="tx2">
                            <a:lumMod val="75000"/>
                          </a:schemeClr>
                        </a:solidFill>
                        <a:ln w="6350">
                          <a:noFill/>
                        </a:ln>
                      </wps:spPr>
                      <wps:txbx>
                        <w:txbxContent>
                          <w:p w14:paraId="1885126A" w14:textId="1F334F0B" w:rsidR="00483AC1" w:rsidRPr="004A3982" w:rsidRDefault="00E84F8F" w:rsidP="00483AC1">
                            <w:pPr>
                              <w:pStyle w:val="Subtitle"/>
                              <w:rPr>
                                <w:rFonts w:ascii="Calibri" w:hAnsi="Calibri" w:cs="Calibri"/>
                                <w:sz w:val="52"/>
                                <w:szCs w:val="52"/>
                              </w:rPr>
                            </w:pPr>
                            <w:r>
                              <w:rPr>
                                <w:rFonts w:ascii="Calibri" w:hAnsi="Calibri" w:cs="Calibri"/>
                                <w:sz w:val="52"/>
                                <w:szCs w:val="52"/>
                              </w:rPr>
                              <w:t>Wildfire Risk Reduction</w:t>
                            </w:r>
                            <w:r w:rsidR="00483AC1" w:rsidRPr="004A3982">
                              <w:rPr>
                                <w:rFonts w:ascii="Calibri" w:hAnsi="Calibri" w:cs="Calibri"/>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0FC0E1" id="_x0000_t202" coordsize="21600,21600" o:spt="202" path="m,l,21600r21600,l21600,xe">
                <v:stroke joinstyle="miter"/>
                <v:path gradientshapeok="t" o:connecttype="rect"/>
              </v:shapetype>
              <v:shape id="Text Box 6" o:spid="_x0000_s1026" type="#_x0000_t202" style="position:absolute;left:0;text-align:left;margin-left:0;margin-top:248.65pt;width:321.55pt;height:63.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" fillcolor="#323e4f [2415]" stroked="f" strokeweight=".5pt">
                <v:textbox>
                  <w:txbxContent>
                    <w:p w14:paraId="1885126A" w14:textId="1F334F0B" w:rsidR="00483AC1" w:rsidRPr="004A3982" w:rsidRDefault="00E84F8F" w:rsidP="00483AC1">
                      <w:pPr>
                        <w:pStyle w:val="Subtitle"/>
                        <w:rPr>
                          <w:rFonts w:ascii="Calibri" w:hAnsi="Calibri" w:cs="Calibri"/>
                          <w:sz w:val="52"/>
                          <w:szCs w:val="52"/>
                        </w:rPr>
                      </w:pPr>
                      <w:r>
                        <w:rPr>
                          <w:rFonts w:ascii="Calibri" w:hAnsi="Calibri" w:cs="Calibri"/>
                          <w:sz w:val="52"/>
                          <w:szCs w:val="52"/>
                        </w:rPr>
                        <w:t>Wildfire Risk Reduction</w:t>
                      </w:r>
                      <w:r w:rsidR="00483AC1" w:rsidRPr="004A3982">
                        <w:rPr>
                          <w:rFonts w:ascii="Calibri" w:hAnsi="Calibri" w:cs="Calibri"/>
                          <w:sz w:val="52"/>
                          <w:szCs w:val="52"/>
                        </w:rPr>
                        <w:t xml:space="preserve"> </w:t>
                      </w:r>
                    </w:p>
                  </w:txbxContent>
                </v:textbox>
                <w10:wrap anchorx="margin"/>
              </v:shape>
            </w:pict>
          </mc:Fallback>
        </mc:AlternateContent>
      </w:r>
      <w:r>
        <w:rPr>
          <w:b/>
          <w:bCs/>
          <w:noProof/>
        </w:rPr>
        <w:drawing>
          <wp:anchor distT="0" distB="0" distL="114300" distR="114300" simplePos="0" relativeHeight="251658240" behindDoc="1" locked="0" layoutInCell="1" allowOverlap="1" wp14:anchorId="0E8C05FA" wp14:editId="23E715D1">
            <wp:simplePos x="0" y="0"/>
            <wp:positionH relativeFrom="margin">
              <wp:posOffset>781050</wp:posOffset>
            </wp:positionH>
            <wp:positionV relativeFrom="paragraph">
              <wp:posOffset>14605</wp:posOffset>
            </wp:positionV>
            <wp:extent cx="5450840" cy="37642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hutes Collaborative Forest OR.jpg"/>
                    <pic:cNvPicPr/>
                  </pic:nvPicPr>
                  <pic:blipFill rotWithShape="1">
                    <a:blip r:embed="rId8" cstate="print">
                      <a:extLst>
                        <a:ext uri="{28A0092B-C50C-407E-A947-70E740481C1C}">
                          <a14:useLocalDpi xmlns:a14="http://schemas.microsoft.com/office/drawing/2010/main" val="0"/>
                        </a:ext>
                      </a:extLst>
                    </a:blip>
                    <a:srcRect t="7922"/>
                    <a:stretch/>
                  </pic:blipFill>
                  <pic:spPr bwMode="auto">
                    <a:xfrm>
                      <a:off x="0" y="0"/>
                      <a:ext cx="5450840" cy="3764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ECDDDAC" wp14:editId="733CC4D2">
                <wp:simplePos x="0" y="0"/>
                <wp:positionH relativeFrom="column">
                  <wp:posOffset>-337820</wp:posOffset>
                </wp:positionH>
                <wp:positionV relativeFrom="paragraph">
                  <wp:posOffset>309880</wp:posOffset>
                </wp:positionV>
                <wp:extent cx="2933065" cy="842010"/>
                <wp:effectExtent l="0" t="0" r="635"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33065" cy="842010"/>
                        </a:xfrm>
                        <a:prstGeom prst="rect">
                          <a:avLst/>
                        </a:prstGeom>
                        <a:solidFill>
                          <a:schemeClr val="bg1">
                            <a:lumMod val="95000"/>
                          </a:schemeClr>
                        </a:solidFill>
                        <a:ln w="6350">
                          <a:noFill/>
                        </a:ln>
                      </wps:spPr>
                      <wps:txbx>
                        <w:txbxContent>
                          <w:p w14:paraId="304452BA" w14:textId="28C6550D" w:rsidR="00483AC1" w:rsidRPr="004A3982" w:rsidRDefault="00483AC1" w:rsidP="00483AC1">
                            <w:pPr>
                              <w:pStyle w:val="Heading1"/>
                            </w:pPr>
                            <w:r w:rsidRPr="004A3982">
                              <w:t>CFLRP 10 Year Results and Lessons Learned Summary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DDAC" id="Text Box 7" o:spid="_x0000_s1027" type="#_x0000_t202" style="position:absolute;left:0;text-align:left;margin-left:-26.6pt;margin-top:24.4pt;width:230.95pt;height: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" fillcolor="#f2f2f2 [3052]" stroked="f" strokeweight=".5pt">
                <v:textbox>
                  <w:txbxContent>
                    <w:p w14:paraId="304452BA" w14:textId="28C6550D" w:rsidR="00483AC1" w:rsidRPr="004A3982" w:rsidRDefault="00483AC1" w:rsidP="00483AC1">
                      <w:pPr>
                        <w:pStyle w:val="Heading1"/>
                      </w:pPr>
                      <w:r w:rsidRPr="004A3982">
                        <w:t>CFLRP 10 Year Results and Lessons Learned Summary Series</w:t>
                      </w:r>
                    </w:p>
                  </w:txbxContent>
                </v:textbox>
              </v:shape>
            </w:pict>
          </mc:Fallback>
        </mc:AlternateContent>
      </w:r>
    </w:p>
    <w:p w14:paraId="5D13557A" w14:textId="35D9F6EB" w:rsidR="00483AC1" w:rsidRDefault="00483AC1" w:rsidP="00647303">
      <w:pPr>
        <w:pStyle w:val="Heading2"/>
        <w:jc w:val="center"/>
        <w:rPr>
          <w:b/>
          <w:bCs/>
        </w:rPr>
      </w:pPr>
    </w:p>
    <w:p w14:paraId="5BA7732F" w14:textId="7EBEC876" w:rsidR="00483AC1" w:rsidRDefault="00483AC1" w:rsidP="00647303">
      <w:pPr>
        <w:pStyle w:val="Heading2"/>
        <w:jc w:val="center"/>
        <w:rPr>
          <w:b/>
          <w:bCs/>
        </w:rPr>
      </w:pPr>
    </w:p>
    <w:p w14:paraId="490F3CC4" w14:textId="303BF5D0" w:rsidR="00483AC1" w:rsidRDefault="00483AC1" w:rsidP="00647303">
      <w:pPr>
        <w:pStyle w:val="Heading2"/>
        <w:jc w:val="center"/>
        <w:rPr>
          <w:b/>
          <w:bCs/>
        </w:rPr>
      </w:pPr>
    </w:p>
    <w:p w14:paraId="1D934EE1" w14:textId="55B4C6F9" w:rsidR="00483AC1" w:rsidRDefault="00483AC1" w:rsidP="00647303">
      <w:pPr>
        <w:pStyle w:val="Heading2"/>
        <w:jc w:val="center"/>
        <w:rPr>
          <w:b/>
          <w:bCs/>
        </w:rPr>
      </w:pPr>
    </w:p>
    <w:p w14:paraId="0AE6E316" w14:textId="0785063B" w:rsidR="00483AC1" w:rsidRDefault="00483AC1" w:rsidP="00647303">
      <w:pPr>
        <w:pStyle w:val="Heading2"/>
        <w:jc w:val="center"/>
        <w:rPr>
          <w:b/>
          <w:bCs/>
        </w:rPr>
      </w:pPr>
    </w:p>
    <w:p w14:paraId="31E128AE" w14:textId="7B4A7E0C" w:rsidR="00483AC1" w:rsidRDefault="00483AC1" w:rsidP="00647303">
      <w:pPr>
        <w:pStyle w:val="Heading2"/>
        <w:jc w:val="center"/>
        <w:rPr>
          <w:b/>
          <w:bCs/>
        </w:rPr>
      </w:pPr>
    </w:p>
    <w:p w14:paraId="7AC58FFF" w14:textId="72EDA96A" w:rsidR="00483AC1" w:rsidRDefault="00483AC1" w:rsidP="00647303">
      <w:pPr>
        <w:pStyle w:val="Heading2"/>
        <w:jc w:val="center"/>
        <w:rPr>
          <w:b/>
          <w:bCs/>
        </w:rPr>
      </w:pPr>
    </w:p>
    <w:p w14:paraId="0650FC4E" w14:textId="50E01FBA" w:rsidR="00483AC1" w:rsidRDefault="00483AC1" w:rsidP="00647303">
      <w:pPr>
        <w:pStyle w:val="Heading2"/>
        <w:jc w:val="center"/>
        <w:rPr>
          <w:b/>
          <w:bCs/>
        </w:rPr>
      </w:pPr>
    </w:p>
    <w:p w14:paraId="5752D99A" w14:textId="7FBA7076" w:rsidR="00483AC1" w:rsidRDefault="00483AC1" w:rsidP="00647303">
      <w:pPr>
        <w:pStyle w:val="Heading2"/>
        <w:jc w:val="center"/>
        <w:rPr>
          <w:b/>
          <w:bCs/>
        </w:rPr>
      </w:pPr>
    </w:p>
    <w:p w14:paraId="6EC11E04" w14:textId="760BC32E" w:rsidR="00483AC1" w:rsidRDefault="00483AC1" w:rsidP="00647303">
      <w:pPr>
        <w:pStyle w:val="Heading2"/>
        <w:jc w:val="center"/>
        <w:rPr>
          <w:b/>
          <w:bCs/>
        </w:rPr>
      </w:pPr>
    </w:p>
    <w:p w14:paraId="5B79C578" w14:textId="7E0A0CB1" w:rsidR="00483AC1" w:rsidRDefault="00483AC1" w:rsidP="00647303">
      <w:pPr>
        <w:pStyle w:val="Heading2"/>
        <w:jc w:val="center"/>
        <w:rPr>
          <w:b/>
          <w:bCs/>
        </w:rPr>
      </w:pPr>
    </w:p>
    <w:p w14:paraId="41AFF746" w14:textId="5CE21351" w:rsidR="00483AC1" w:rsidRDefault="00483AC1" w:rsidP="00647303">
      <w:pPr>
        <w:pStyle w:val="Heading2"/>
        <w:jc w:val="center"/>
        <w:rPr>
          <w:b/>
          <w:bCs/>
        </w:rPr>
      </w:pPr>
    </w:p>
    <w:p w14:paraId="2DAC8200" w14:textId="70E84964" w:rsidR="00483AC1" w:rsidRDefault="00483AC1" w:rsidP="00647303">
      <w:pPr>
        <w:pStyle w:val="Heading2"/>
        <w:jc w:val="center"/>
        <w:rPr>
          <w:b/>
          <w:bCs/>
        </w:rPr>
      </w:pPr>
    </w:p>
    <w:p w14:paraId="0B8B8706" w14:textId="4BA69023" w:rsidR="00483AC1" w:rsidRDefault="00777955" w:rsidP="00647303">
      <w:pPr>
        <w:pStyle w:val="Heading2"/>
        <w:jc w:val="center"/>
        <w:rPr>
          <w:b/>
          <w:bCs/>
        </w:rPr>
      </w:pPr>
      <w:r w:rsidRPr="00C9521D">
        <w:rPr>
          <w:b/>
          <w:bCs/>
          <w:noProof/>
        </w:rPr>
        <mc:AlternateContent>
          <mc:Choice Requires="wps">
            <w:drawing>
              <wp:anchor distT="45720" distB="45720" distL="114300" distR="114300" simplePos="0" relativeHeight="251665408" behindDoc="0" locked="0" layoutInCell="1" allowOverlap="1" wp14:anchorId="0BAC3773" wp14:editId="7D579A95">
                <wp:simplePos x="0" y="0"/>
                <wp:positionH relativeFrom="column">
                  <wp:posOffset>3667125</wp:posOffset>
                </wp:positionH>
                <wp:positionV relativeFrom="paragraph">
                  <wp:posOffset>127635</wp:posOffset>
                </wp:positionV>
                <wp:extent cx="2571750" cy="23812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38125"/>
                        </a:xfrm>
                        <a:prstGeom prst="rect">
                          <a:avLst/>
                        </a:prstGeom>
                        <a:noFill/>
                        <a:ln w="9525">
                          <a:noFill/>
                          <a:miter lim="800000"/>
                          <a:headEnd/>
                          <a:tailEnd/>
                        </a:ln>
                      </wps:spPr>
                      <wps:txbx>
                        <w:txbxContent>
                          <w:p w14:paraId="27FC5A97" w14:textId="68FF1DB3" w:rsidR="00C9521D" w:rsidRPr="00777955" w:rsidRDefault="00E84F8F" w:rsidP="00C9521D">
                            <w:pPr>
                              <w:jc w:val="right"/>
                              <w:rPr>
                                <w:color w:val="0D0D0D" w:themeColor="text1" w:themeTint="F2"/>
                                <w:sz w:val="18"/>
                                <w:szCs w:val="18"/>
                              </w:rPr>
                            </w:pPr>
                            <w:bookmarkStart w:id="0" w:name="_GoBack"/>
                            <w:r w:rsidRPr="00777955">
                              <w:rPr>
                                <w:color w:val="0D0D0D" w:themeColor="text1" w:themeTint="F2"/>
                                <w:sz w:val="18"/>
                                <w:szCs w:val="18"/>
                              </w:rPr>
                              <w:t>Kootenai Valley Resource Initiative, ID</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C3773" id="_x0000_s1028" type="#_x0000_t202" style="position:absolute;left:0;text-align:left;margin-left:288.75pt;margin-top:10.05pt;width:202.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" filled="f" stroked="f">
                <v:textbox>
                  <w:txbxContent>
                    <w:p w14:paraId="27FC5A97" w14:textId="68FF1DB3" w:rsidR="00C9521D" w:rsidRPr="00777955" w:rsidRDefault="00E84F8F" w:rsidP="00C9521D">
                      <w:pPr>
                        <w:jc w:val="right"/>
                        <w:rPr>
                          <w:color w:val="0D0D0D" w:themeColor="text1" w:themeTint="F2"/>
                          <w:sz w:val="18"/>
                          <w:szCs w:val="18"/>
                        </w:rPr>
                      </w:pPr>
                      <w:bookmarkStart w:id="1" w:name="_GoBack"/>
                      <w:r w:rsidRPr="00777955">
                        <w:rPr>
                          <w:color w:val="0D0D0D" w:themeColor="text1" w:themeTint="F2"/>
                          <w:sz w:val="18"/>
                          <w:szCs w:val="18"/>
                        </w:rPr>
                        <w:t>Kootenai Valley Resource Initiative, ID</w:t>
                      </w:r>
                      <w:bookmarkEnd w:id="1"/>
                    </w:p>
                  </w:txbxContent>
                </v:textbox>
                <w10:wrap type="square"/>
              </v:shape>
            </w:pict>
          </mc:Fallback>
        </mc:AlternateContent>
      </w:r>
    </w:p>
    <w:p w14:paraId="42B0B3EC" w14:textId="54E8D693" w:rsidR="00483AC1" w:rsidRDefault="00483AC1" w:rsidP="00647303">
      <w:pPr>
        <w:pStyle w:val="Heading2"/>
        <w:jc w:val="center"/>
        <w:rPr>
          <w:b/>
          <w:bCs/>
        </w:rPr>
      </w:pPr>
    </w:p>
    <w:p w14:paraId="5D17423B" w14:textId="77777777" w:rsidR="00290428" w:rsidRDefault="00290428" w:rsidP="00A651A1">
      <w:pPr>
        <w:rPr>
          <w:i/>
          <w:iCs/>
          <w:sz w:val="26"/>
          <w:szCs w:val="26"/>
        </w:rPr>
      </w:pPr>
    </w:p>
    <w:p w14:paraId="738B0ADF" w14:textId="1BFCC9C8" w:rsidR="00647303" w:rsidRPr="00483AC1" w:rsidRDefault="00647303" w:rsidP="00A651A1">
      <w:pPr>
        <w:rPr>
          <w:i/>
          <w:iCs/>
          <w:sz w:val="26"/>
          <w:szCs w:val="26"/>
        </w:rPr>
      </w:pPr>
      <w:r w:rsidRPr="00483AC1">
        <w:rPr>
          <w:i/>
          <w:iCs/>
          <w:sz w:val="26"/>
          <w:szCs w:val="26"/>
        </w:rPr>
        <w:t xml:space="preserve">The purpose </w:t>
      </w:r>
      <w:r w:rsidR="00483AC1" w:rsidRPr="00483AC1">
        <w:rPr>
          <w:i/>
          <w:iCs/>
          <w:sz w:val="26"/>
          <w:szCs w:val="26"/>
        </w:rPr>
        <w:t>of</w:t>
      </w:r>
      <w:r w:rsidRPr="00483AC1">
        <w:rPr>
          <w:i/>
          <w:iCs/>
          <w:sz w:val="26"/>
          <w:szCs w:val="26"/>
        </w:rPr>
        <w:t xml:space="preserve"> this document is to summarize the results and lessons learned from the “</w:t>
      </w:r>
      <w:r w:rsidR="00E84F8F">
        <w:rPr>
          <w:i/>
          <w:iCs/>
          <w:sz w:val="26"/>
          <w:szCs w:val="26"/>
        </w:rPr>
        <w:t>Wildfire Risk Reduction</w:t>
      </w:r>
      <w:r w:rsidRPr="00483AC1">
        <w:rPr>
          <w:i/>
          <w:iCs/>
          <w:sz w:val="26"/>
          <w:szCs w:val="26"/>
        </w:rPr>
        <w:t>” theme in the</w:t>
      </w:r>
      <w:r w:rsidR="00483AC1">
        <w:rPr>
          <w:i/>
          <w:iCs/>
          <w:sz w:val="26"/>
          <w:szCs w:val="26"/>
        </w:rPr>
        <w:t xml:space="preserve"> </w:t>
      </w:r>
      <w:r w:rsidR="00B82135">
        <w:rPr>
          <w:i/>
          <w:iCs/>
          <w:sz w:val="26"/>
          <w:szCs w:val="26"/>
        </w:rPr>
        <w:t>comprehensive</w:t>
      </w:r>
      <w:r w:rsidRPr="00483AC1">
        <w:rPr>
          <w:i/>
          <w:iCs/>
          <w:sz w:val="26"/>
          <w:szCs w:val="26"/>
        </w:rPr>
        <w:t xml:space="preserve"> </w:t>
      </w:r>
      <w:hyperlink r:id="rId9" w:history="1">
        <w:r w:rsidRPr="00483AC1">
          <w:rPr>
            <w:rStyle w:val="Hyperlink"/>
            <w:i/>
            <w:iCs/>
            <w:sz w:val="26"/>
            <w:szCs w:val="26"/>
          </w:rPr>
          <w:t>Collaborative Forest Landscape Restoration Program (CFLRP) 10 Years of Results and Lessons Learned</w:t>
        </w:r>
      </w:hyperlink>
      <w:r w:rsidRPr="00483AC1">
        <w:rPr>
          <w:i/>
          <w:iCs/>
          <w:sz w:val="26"/>
          <w:szCs w:val="26"/>
        </w:rPr>
        <w:t xml:space="preserve"> </w:t>
      </w:r>
      <w:r w:rsidR="00483AC1">
        <w:rPr>
          <w:i/>
          <w:iCs/>
          <w:sz w:val="26"/>
          <w:szCs w:val="26"/>
        </w:rPr>
        <w:t>report.</w:t>
      </w:r>
      <w:r w:rsidRPr="00483AC1">
        <w:rPr>
          <w:i/>
          <w:iCs/>
          <w:sz w:val="26"/>
          <w:szCs w:val="26"/>
        </w:rPr>
        <w:t xml:space="preserve"> </w:t>
      </w:r>
      <w:r w:rsidR="00B82135">
        <w:rPr>
          <w:i/>
          <w:iCs/>
          <w:sz w:val="26"/>
          <w:szCs w:val="26"/>
        </w:rPr>
        <w:t xml:space="preserve">Please review the report for details and resources. </w:t>
      </w:r>
    </w:p>
    <w:p w14:paraId="0B10B586" w14:textId="510F3662" w:rsidR="00483AC1" w:rsidRDefault="00483AC1" w:rsidP="00647303">
      <w:pPr>
        <w:pStyle w:val="Heading2"/>
        <w:rPr>
          <w:b/>
          <w:bCs/>
        </w:rPr>
      </w:pPr>
    </w:p>
    <w:p w14:paraId="6B22D5CB" w14:textId="77777777" w:rsidR="00771DC0" w:rsidRPr="00647303" w:rsidRDefault="00771DC0" w:rsidP="00771DC0">
      <w:pPr>
        <w:pStyle w:val="Heading2"/>
        <w:rPr>
          <w:b/>
          <w:bCs/>
        </w:rPr>
      </w:pPr>
      <w:r w:rsidRPr="00647303">
        <w:rPr>
          <w:b/>
          <w:bCs/>
        </w:rPr>
        <w:t>Overview</w:t>
      </w:r>
    </w:p>
    <w:p w14:paraId="5F8EDBCF" w14:textId="77777777" w:rsidR="00E84F8F" w:rsidRPr="000A7D04" w:rsidRDefault="00E84F8F" w:rsidP="00E84F8F">
      <w:pPr>
        <w:spacing w:after="0"/>
        <w:rPr>
          <w:rFonts w:cstheme="minorHAnsi"/>
          <w:color w:val="000000" w:themeColor="text1"/>
          <w:sz w:val="24"/>
          <w:szCs w:val="24"/>
        </w:rPr>
      </w:pPr>
      <w:r w:rsidRPr="000A7D04">
        <w:rPr>
          <w:rFonts w:cstheme="minorHAnsi"/>
          <w:sz w:val="24"/>
          <w:szCs w:val="24"/>
        </w:rPr>
        <w:t xml:space="preserve">Wildland fire management is a common and complex challenge across public and private lands. </w:t>
      </w:r>
      <w:r w:rsidRPr="000A7D04">
        <w:rPr>
          <w:rFonts w:cstheme="minorHAnsi"/>
          <w:color w:val="000000" w:themeColor="text1"/>
          <w:sz w:val="24"/>
          <w:szCs w:val="24"/>
        </w:rPr>
        <w:t xml:space="preserve">CFLRP results illustrate the benefit of multi-year, multi-partner, landscape-scale investments to make meaningful progress in reducing wildfire risk.  </w:t>
      </w:r>
    </w:p>
    <w:p w14:paraId="2C98B645" w14:textId="77777777" w:rsidR="00771DC0" w:rsidRPr="00647303" w:rsidRDefault="00771DC0" w:rsidP="00771DC0">
      <w:pPr>
        <w:pStyle w:val="NoSpacing"/>
      </w:pPr>
    </w:p>
    <w:p w14:paraId="79953F3E" w14:textId="5DA3ABDE" w:rsidR="00771DC0" w:rsidRPr="00647303" w:rsidRDefault="00F12042" w:rsidP="00771DC0">
      <w:pPr>
        <w:pStyle w:val="Heading2"/>
        <w:rPr>
          <w:b/>
          <w:bCs/>
        </w:rPr>
      </w:pPr>
      <w:r>
        <w:rPr>
          <w:b/>
          <w:bCs/>
        </w:rPr>
        <w:t xml:space="preserve">Key Results and </w:t>
      </w:r>
      <w:r w:rsidR="00771DC0" w:rsidRPr="00647303">
        <w:rPr>
          <w:b/>
          <w:bCs/>
        </w:rPr>
        <w:t xml:space="preserve">Lessons Learned      </w:t>
      </w:r>
    </w:p>
    <w:p w14:paraId="6DA826FB" w14:textId="1342E3F6" w:rsidR="00771DC0" w:rsidRPr="00647303" w:rsidRDefault="00E84F8F" w:rsidP="00771DC0">
      <w:pPr>
        <w:pStyle w:val="Heading2"/>
        <w:spacing w:line="240" w:lineRule="auto"/>
        <w:rPr>
          <w:rFonts w:asciiTheme="minorHAnsi" w:hAnsiTheme="minorHAnsi" w:cstheme="minorHAnsi"/>
          <w:b/>
          <w:bCs/>
          <w:i/>
          <w:iCs/>
          <w:color w:val="auto"/>
          <w:sz w:val="24"/>
          <w:szCs w:val="24"/>
        </w:rPr>
      </w:pPr>
      <w:bookmarkStart w:id="2" w:name="_Project_Accomplishments"/>
      <w:bookmarkStart w:id="3" w:name="_Toc48740400"/>
      <w:bookmarkStart w:id="4" w:name="_Hlk40181430"/>
      <w:bookmarkEnd w:id="2"/>
      <w:r>
        <w:rPr>
          <w:rFonts w:asciiTheme="minorHAnsi" w:hAnsiTheme="minorHAnsi" w:cstheme="minorHAnsi"/>
          <w:b/>
          <w:bCs/>
          <w:i/>
          <w:iCs/>
          <w:color w:val="auto"/>
          <w:sz w:val="24"/>
          <w:szCs w:val="24"/>
        </w:rPr>
        <w:t>Project accomplishments</w:t>
      </w:r>
    </w:p>
    <w:p w14:paraId="17F96096" w14:textId="77777777" w:rsidR="00E84F8F" w:rsidRPr="003900AD" w:rsidRDefault="00E84F8F" w:rsidP="00E84F8F">
      <w:pPr>
        <w:spacing w:after="0"/>
        <w:rPr>
          <w:sz w:val="24"/>
          <w:szCs w:val="24"/>
        </w:rPr>
      </w:pPr>
      <w:r w:rsidRPr="00C34E19">
        <w:rPr>
          <w:sz w:val="24"/>
          <w:szCs w:val="24"/>
        </w:rPr>
        <w:t xml:space="preserve">From 2010 through 2019 CFLR projects treated </w:t>
      </w:r>
      <w:r w:rsidRPr="000A7D04">
        <w:rPr>
          <w:sz w:val="24"/>
          <w:szCs w:val="24"/>
        </w:rPr>
        <w:t xml:space="preserve">3.8 million acres of hazardous fuels. Of the 3.8 million acres, projects treated 3.2 million acres of CFLRP landscapes using prescribed fire and mechanical treatments (1.6 million acres each).  </w:t>
      </w:r>
      <w:r>
        <w:rPr>
          <w:rStyle w:val="CommentReference"/>
          <w:rFonts w:cstheme="minorHAnsi"/>
          <w:sz w:val="24"/>
          <w:szCs w:val="24"/>
        </w:rPr>
        <w:t xml:space="preserve"> </w:t>
      </w:r>
      <w:r w:rsidRPr="003900AD">
        <w:rPr>
          <w:rStyle w:val="CommentReference"/>
          <w:rFonts w:cstheme="minorHAnsi"/>
          <w:sz w:val="24"/>
          <w:szCs w:val="24"/>
        </w:rPr>
        <w:t xml:space="preserve"> </w:t>
      </w:r>
      <w:r>
        <w:rPr>
          <w:rStyle w:val="CommentReference"/>
          <w:rFonts w:cstheme="minorHAnsi"/>
          <w:sz w:val="24"/>
          <w:szCs w:val="24"/>
        </w:rPr>
        <w:t>B</w:t>
      </w:r>
      <w:r w:rsidRPr="003900AD">
        <w:rPr>
          <w:sz w:val="24"/>
          <w:szCs w:val="24"/>
        </w:rPr>
        <w:t xml:space="preserve">etween FY 2013 and FY 2019, CFLRP Projects comprised 11% of the NFS treatable acreage and 9% of restoration-related spending while they accomplished 19% of the agency’s total hazardous fuels treatments.  </w:t>
      </w:r>
      <w:r w:rsidRPr="003900AD">
        <w:rPr>
          <w:rStyle w:val="CommentReference"/>
          <w:rFonts w:cstheme="minorHAnsi"/>
          <w:sz w:val="24"/>
          <w:szCs w:val="24"/>
        </w:rPr>
        <w:t>In 2019, CFLR projects provided 15% of the agency totals for prescribed fire treatments.</w:t>
      </w:r>
    </w:p>
    <w:p w14:paraId="54FB1FBA" w14:textId="77777777" w:rsidR="00E84F8F" w:rsidRDefault="00E84F8F" w:rsidP="00E84F8F">
      <w:pPr>
        <w:pStyle w:val="NoSpacing"/>
      </w:pPr>
    </w:p>
    <w:p w14:paraId="64981DCB" w14:textId="32545F08" w:rsidR="00771DC0" w:rsidRPr="003B4A7F" w:rsidRDefault="00E84F8F" w:rsidP="003B4A7F">
      <w:pPr>
        <w:rPr>
          <w:rFonts w:cstheme="minorHAnsi"/>
          <w:sz w:val="24"/>
          <w:szCs w:val="24"/>
        </w:rPr>
      </w:pPr>
      <w:r w:rsidRPr="003900AD">
        <w:rPr>
          <w:rFonts w:cstheme="minorHAnsi"/>
          <w:sz w:val="24"/>
          <w:szCs w:val="24"/>
        </w:rPr>
        <w:t xml:space="preserve">While there was fluctuation between years and variation across projects, in general projects reported the value of CFLRP </w:t>
      </w:r>
      <w:r>
        <w:rPr>
          <w:rFonts w:cstheme="minorHAnsi"/>
          <w:sz w:val="24"/>
          <w:szCs w:val="24"/>
        </w:rPr>
        <w:t>in</w:t>
      </w:r>
      <w:r w:rsidRPr="003900AD">
        <w:rPr>
          <w:rFonts w:cstheme="minorHAnsi"/>
          <w:sz w:val="24"/>
          <w:szCs w:val="24"/>
        </w:rPr>
        <w:t xml:space="preserve"> building increased capacity for their treatments and increased community support for prescribed fire overtime. This increased capacity led to the increase in annual accomplishments over time.</w:t>
      </w:r>
      <w:r>
        <w:rPr>
          <w:rFonts w:cstheme="minorHAnsi"/>
          <w:sz w:val="24"/>
          <w:szCs w:val="24"/>
        </w:rPr>
        <w:t xml:space="preserve"> </w:t>
      </w:r>
      <w:r w:rsidRPr="003900AD">
        <w:rPr>
          <w:rFonts w:cstheme="minorHAnsi"/>
          <w:sz w:val="24"/>
          <w:szCs w:val="24"/>
        </w:rPr>
        <w:t>At the same time, many projects also reported a need to expand the scale of their prescribed fire treatments further, apply improved spatial planning to strategically placed treatments, and improve their ability to utilize wildfire for resource benefit.</w:t>
      </w:r>
    </w:p>
    <w:p w14:paraId="0356EBD4" w14:textId="03EDE7ED" w:rsidR="00771DC0" w:rsidRPr="003A5F6D" w:rsidRDefault="00E84F8F" w:rsidP="00771DC0">
      <w:pPr>
        <w:pStyle w:val="Heading2"/>
        <w:rPr>
          <w:rFonts w:asciiTheme="minorHAnsi" w:hAnsiTheme="minorHAnsi" w:cstheme="minorHAnsi"/>
          <w:b/>
          <w:bCs/>
          <w:i/>
          <w:iCs/>
          <w:color w:val="auto"/>
          <w:sz w:val="24"/>
          <w:szCs w:val="24"/>
        </w:rPr>
      </w:pPr>
      <w:bookmarkStart w:id="5" w:name="_What_role_does"/>
      <w:bookmarkStart w:id="6" w:name="_Toc48661660"/>
      <w:bookmarkStart w:id="7" w:name="_Toc48740484"/>
      <w:bookmarkEnd w:id="5"/>
      <w:r w:rsidRPr="00E84F8F">
        <w:rPr>
          <w:rFonts w:asciiTheme="minorHAnsi" w:hAnsiTheme="minorHAnsi" w:cstheme="minorHAnsi"/>
          <w:b/>
          <w:bCs/>
          <w:i/>
          <w:iCs/>
          <w:color w:val="auto"/>
          <w:sz w:val="24"/>
          <w:szCs w:val="24"/>
        </w:rPr>
        <w:lastRenderedPageBreak/>
        <w:t>Measuring impacts on wildfire risk</w:t>
      </w:r>
    </w:p>
    <w:p w14:paraId="5DC54B79" w14:textId="77777777" w:rsidR="00E84F8F" w:rsidRDefault="00E84F8F" w:rsidP="00E84F8F">
      <w:pPr>
        <w:spacing w:after="0"/>
        <w:rPr>
          <w:rFonts w:cstheme="minorHAnsi"/>
          <w:sz w:val="24"/>
          <w:szCs w:val="24"/>
        </w:rPr>
      </w:pPr>
      <w:r w:rsidRPr="005C3322">
        <w:rPr>
          <w:rFonts w:cstheme="minorHAnsi"/>
          <w:sz w:val="24"/>
          <w:szCs w:val="24"/>
        </w:rPr>
        <w:t xml:space="preserve">A variety of data sources and monitoring approaches indicate </w:t>
      </w:r>
      <w:r>
        <w:rPr>
          <w:rFonts w:cstheme="minorHAnsi"/>
          <w:sz w:val="24"/>
          <w:szCs w:val="24"/>
        </w:rPr>
        <w:t xml:space="preserve"> </w:t>
      </w:r>
      <w:r w:rsidRPr="005C3322">
        <w:rPr>
          <w:rFonts w:cstheme="minorHAnsi"/>
          <w:sz w:val="24"/>
          <w:szCs w:val="24"/>
        </w:rPr>
        <w:t xml:space="preserve"> CFLR treatments reduced wildfire risk.  </w:t>
      </w:r>
      <w:r>
        <w:rPr>
          <w:rFonts w:cstheme="minorHAnsi"/>
          <w:sz w:val="24"/>
          <w:szCs w:val="24"/>
        </w:rPr>
        <w:t>In a s</w:t>
      </w:r>
      <w:r w:rsidRPr="005C3322">
        <w:rPr>
          <w:rFonts w:cstheme="minorHAnsi"/>
          <w:sz w:val="24"/>
          <w:szCs w:val="24"/>
        </w:rPr>
        <w:t>urvey of CFLRP practitioners</w:t>
      </w:r>
      <w:r>
        <w:rPr>
          <w:rFonts w:cstheme="minorHAnsi"/>
          <w:sz w:val="24"/>
          <w:szCs w:val="24"/>
        </w:rPr>
        <w:t xml:space="preserve">, </w:t>
      </w:r>
      <w:r w:rsidRPr="005C3322">
        <w:rPr>
          <w:rFonts w:cstheme="minorHAnsi"/>
          <w:sz w:val="24"/>
          <w:szCs w:val="24"/>
        </w:rPr>
        <w:t>80%</w:t>
      </w:r>
      <w:r>
        <w:rPr>
          <w:rFonts w:cstheme="minorHAnsi"/>
          <w:sz w:val="24"/>
          <w:szCs w:val="24"/>
        </w:rPr>
        <w:t xml:space="preserve"> of respondents reported treatments </w:t>
      </w:r>
      <w:r w:rsidRPr="005C3322">
        <w:rPr>
          <w:rFonts w:cstheme="minorHAnsi"/>
          <w:sz w:val="24"/>
          <w:szCs w:val="24"/>
        </w:rPr>
        <w:t>reduced the threat of fire and improved ecological conditions</w:t>
      </w:r>
      <w:bookmarkStart w:id="8" w:name="_Ref48394484"/>
      <w:r w:rsidRPr="00FB2191">
        <w:rPr>
          <w:rStyle w:val="FootnoteReference"/>
          <w:rFonts w:cstheme="minorHAnsi"/>
          <w:sz w:val="24"/>
          <w:szCs w:val="24"/>
        </w:rPr>
        <w:footnoteReference w:id="1"/>
      </w:r>
      <w:bookmarkEnd w:id="8"/>
      <w:r w:rsidRPr="005C3322">
        <w:rPr>
          <w:rFonts w:cstheme="minorHAnsi"/>
          <w:sz w:val="24"/>
          <w:szCs w:val="24"/>
        </w:rPr>
        <w:t xml:space="preserve">. Annual project reports </w:t>
      </w:r>
      <w:r>
        <w:rPr>
          <w:rFonts w:cstheme="minorHAnsi"/>
          <w:sz w:val="24"/>
          <w:szCs w:val="24"/>
        </w:rPr>
        <w:t>document how</w:t>
      </w:r>
      <w:r w:rsidRPr="005C3322">
        <w:rPr>
          <w:rFonts w:cstheme="minorHAnsi"/>
          <w:sz w:val="24"/>
          <w:szCs w:val="24"/>
        </w:rPr>
        <w:t xml:space="preserve"> treatments created and maintained fire resilient stands to enable more successful management of wildfires. </w:t>
      </w:r>
      <w:r>
        <w:rPr>
          <w:rFonts w:cstheme="minorHAnsi"/>
          <w:sz w:val="24"/>
          <w:szCs w:val="24"/>
        </w:rPr>
        <w:t>Fuel treatment effectiveness monitoring</w:t>
      </w:r>
      <w:r w:rsidRPr="00FB2191">
        <w:rPr>
          <w:rFonts w:cstheme="minorHAnsi"/>
          <w:sz w:val="24"/>
          <w:szCs w:val="24"/>
        </w:rPr>
        <w:t xml:space="preserve"> showed wildfires impacted treated areas with dramatically less intensity than untreated areas.</w:t>
      </w:r>
      <w:r>
        <w:rPr>
          <w:rFonts w:cstheme="minorHAnsi"/>
          <w:sz w:val="24"/>
          <w:szCs w:val="24"/>
        </w:rPr>
        <w:t xml:space="preserve"> CFLR projects</w:t>
      </w:r>
      <w:r w:rsidRPr="005C3322">
        <w:rPr>
          <w:rFonts w:cstheme="minorHAnsi"/>
          <w:sz w:val="24"/>
          <w:szCs w:val="24"/>
        </w:rPr>
        <w:t xml:space="preserve"> </w:t>
      </w:r>
      <w:r>
        <w:rPr>
          <w:rFonts w:cstheme="minorHAnsi"/>
          <w:sz w:val="24"/>
          <w:szCs w:val="24"/>
        </w:rPr>
        <w:t xml:space="preserve">also </w:t>
      </w:r>
      <w:r w:rsidRPr="005C3322">
        <w:rPr>
          <w:rFonts w:cstheme="minorHAnsi"/>
          <w:sz w:val="24"/>
          <w:szCs w:val="24"/>
        </w:rPr>
        <w:t>developed quantifiable desired conditions</w:t>
      </w:r>
      <w:r>
        <w:rPr>
          <w:rFonts w:cstheme="minorHAnsi"/>
          <w:sz w:val="24"/>
          <w:szCs w:val="24"/>
        </w:rPr>
        <w:t xml:space="preserve"> for</w:t>
      </w:r>
      <w:r w:rsidRPr="005C3322">
        <w:rPr>
          <w:rFonts w:cstheme="minorHAnsi"/>
          <w:sz w:val="24"/>
          <w:szCs w:val="24"/>
        </w:rPr>
        <w:t xml:space="preserve"> restoring natural fire regimes and reducing the risk of uncharacteristic wildfire at both</w:t>
      </w:r>
      <w:r>
        <w:rPr>
          <w:rFonts w:cstheme="minorHAnsi"/>
          <w:sz w:val="24"/>
          <w:szCs w:val="24"/>
        </w:rPr>
        <w:t xml:space="preserve"> </w:t>
      </w:r>
      <w:r w:rsidRPr="005C3322">
        <w:rPr>
          <w:rFonts w:cstheme="minorHAnsi"/>
          <w:sz w:val="24"/>
          <w:szCs w:val="24"/>
        </w:rPr>
        <w:t>project and landscape scale</w:t>
      </w:r>
      <w:r>
        <w:rPr>
          <w:rFonts w:cstheme="minorHAnsi"/>
          <w:sz w:val="24"/>
          <w:szCs w:val="24"/>
        </w:rPr>
        <w:t>s</w:t>
      </w:r>
      <w:r w:rsidRPr="005C3322">
        <w:rPr>
          <w:rFonts w:cstheme="minorHAnsi"/>
          <w:sz w:val="24"/>
          <w:szCs w:val="24"/>
        </w:rPr>
        <w:t xml:space="preserve">. </w:t>
      </w:r>
      <w:r>
        <w:rPr>
          <w:rFonts w:cstheme="minorHAnsi"/>
          <w:sz w:val="24"/>
          <w:szCs w:val="24"/>
        </w:rPr>
        <w:t>At the ten-year mark, o</w:t>
      </w:r>
      <w:r w:rsidRPr="005C3322">
        <w:rPr>
          <w:rFonts w:cstheme="minorHAnsi"/>
          <w:sz w:val="24"/>
          <w:szCs w:val="24"/>
        </w:rPr>
        <w:t xml:space="preserve">ver 80% of projects achieved their objectives for fire regimes. </w:t>
      </w:r>
    </w:p>
    <w:p w14:paraId="74ED4C54" w14:textId="77777777" w:rsidR="00E84F8F" w:rsidRPr="005C3322" w:rsidRDefault="00E84F8F" w:rsidP="00E84F8F">
      <w:pPr>
        <w:spacing w:after="0"/>
        <w:rPr>
          <w:rFonts w:cstheme="minorHAnsi"/>
          <w:sz w:val="24"/>
          <w:szCs w:val="24"/>
        </w:rPr>
      </w:pPr>
    </w:p>
    <w:p w14:paraId="4E961785" w14:textId="77777777" w:rsidR="00E84F8F" w:rsidRDefault="00E84F8F" w:rsidP="00E84F8F">
      <w:pPr>
        <w:spacing w:after="0"/>
        <w:rPr>
          <w:rFonts w:cstheme="minorHAnsi"/>
          <w:sz w:val="24"/>
          <w:szCs w:val="24"/>
        </w:rPr>
      </w:pPr>
      <w:r w:rsidRPr="005C3322">
        <w:rPr>
          <w:rFonts w:cstheme="minorHAnsi"/>
          <w:color w:val="000000" w:themeColor="text1"/>
          <w:sz w:val="24"/>
          <w:szCs w:val="24"/>
        </w:rPr>
        <w:t xml:space="preserve">In 2019, Forest Service researchers did a deeper analysis of fuel treatments on five CFLR projects. Analysts performed wildfire simulations and risk calculations on pre-treatment (2012) and post-treatment (2019) landscape conditions for these five areas. In general, all study sites showed a decrease in average burn probability and expected annual area burned, a decrease in predicted flame lengths, and decrease in flame lengths greater than 6 feet and 8 feet. From 2010 to 2014 the Forest Service used Risk and Cost Analysis Toolkit (R-CAT) to improve our understanding of cost savings using fire modeling. The initial R-CAT results indicated the potential for CFLR fuel treatments to reduce various fire management cost components. </w:t>
      </w:r>
    </w:p>
    <w:p w14:paraId="6F111D75" w14:textId="77777777" w:rsidR="00E84F8F" w:rsidRPr="005C3322" w:rsidRDefault="00E84F8F" w:rsidP="00E84F8F">
      <w:pPr>
        <w:spacing w:after="0"/>
        <w:rPr>
          <w:rFonts w:cstheme="minorHAnsi"/>
          <w:color w:val="000000" w:themeColor="text1"/>
          <w:sz w:val="24"/>
          <w:szCs w:val="24"/>
        </w:rPr>
      </w:pPr>
    </w:p>
    <w:p w14:paraId="7EA41107" w14:textId="77777777" w:rsidR="00E84F8F" w:rsidRDefault="00E84F8F" w:rsidP="00E84F8F">
      <w:pPr>
        <w:spacing w:after="0"/>
        <w:rPr>
          <w:rFonts w:cstheme="minorHAnsi"/>
          <w:sz w:val="24"/>
          <w:szCs w:val="24"/>
        </w:rPr>
      </w:pPr>
      <w:r>
        <w:rPr>
          <w:rFonts w:cstheme="minorHAnsi"/>
          <w:sz w:val="24"/>
          <w:szCs w:val="24"/>
        </w:rPr>
        <w:t>While these results indicate a meaningful reduction in wildfire risk, the diverse monitoring approaches used led to difficulty in comparing results  across projects and characterizing impacts beyond individual projects. Moving forward, the CFLRP program is working to implement common standards</w:t>
      </w:r>
      <w:r w:rsidRPr="00A01BB8">
        <w:rPr>
          <w:rFonts w:cstheme="minorHAnsi"/>
          <w:sz w:val="24"/>
          <w:szCs w:val="24"/>
        </w:rPr>
        <w:t xml:space="preserve"> for quantifying reductions in wildfire risk at landscape scales.</w:t>
      </w:r>
    </w:p>
    <w:p w14:paraId="13F4EB91" w14:textId="77777777" w:rsidR="00771DC0" w:rsidRPr="003A5F6D" w:rsidRDefault="00771DC0" w:rsidP="00771DC0">
      <w:pPr>
        <w:pStyle w:val="NoSpacing"/>
      </w:pPr>
    </w:p>
    <w:p w14:paraId="35FDDE3C" w14:textId="3F82144B" w:rsidR="00771DC0" w:rsidRPr="00E72E30" w:rsidRDefault="00E84F8F" w:rsidP="00771DC0">
      <w:pPr>
        <w:pStyle w:val="Heading2"/>
        <w:rPr>
          <w:rFonts w:asciiTheme="minorHAnsi" w:hAnsiTheme="minorHAnsi" w:cstheme="minorHAnsi"/>
          <w:b/>
          <w:bCs/>
          <w:i/>
          <w:iCs/>
          <w:color w:val="auto"/>
          <w:sz w:val="24"/>
          <w:szCs w:val="24"/>
        </w:rPr>
      </w:pPr>
      <w:r w:rsidRPr="00E84F8F">
        <w:rPr>
          <w:rFonts w:asciiTheme="minorHAnsi" w:hAnsiTheme="minorHAnsi" w:cstheme="minorHAnsi"/>
          <w:b/>
          <w:bCs/>
          <w:i/>
          <w:iCs/>
          <w:color w:val="auto"/>
          <w:sz w:val="24"/>
          <w:szCs w:val="24"/>
        </w:rPr>
        <w:t>Prioritizing approaches and treatment techniques</w:t>
      </w:r>
    </w:p>
    <w:p w14:paraId="09835440" w14:textId="7C5159CF" w:rsidR="00E84F8F" w:rsidRDefault="00E84F8F" w:rsidP="00E84F8F">
      <w:pPr>
        <w:spacing w:after="0"/>
        <w:rPr>
          <w:rStyle w:val="Hyperlink"/>
          <w:rFonts w:cstheme="minorHAnsi"/>
          <w:sz w:val="24"/>
          <w:szCs w:val="24"/>
        </w:rPr>
      </w:pPr>
      <w:r w:rsidRPr="005C3322">
        <w:rPr>
          <w:rFonts w:cstheme="minorHAnsi"/>
          <w:color w:val="000000" w:themeColor="text1"/>
          <w:sz w:val="24"/>
          <w:szCs w:val="24"/>
        </w:rPr>
        <w:t xml:space="preserve">Projects prioritized treatments in </w:t>
      </w:r>
      <w:r>
        <w:rPr>
          <w:rFonts w:cstheme="minorHAnsi"/>
          <w:color w:val="000000" w:themeColor="text1"/>
          <w:sz w:val="24"/>
          <w:szCs w:val="24"/>
        </w:rPr>
        <w:t xml:space="preserve">both </w:t>
      </w:r>
      <w:r w:rsidRPr="005C3322">
        <w:rPr>
          <w:rFonts w:cstheme="minorHAnsi"/>
          <w:color w:val="000000" w:themeColor="text1"/>
          <w:sz w:val="24"/>
          <w:szCs w:val="24"/>
        </w:rPr>
        <w:t xml:space="preserve">high or very high fire hazard areas </w:t>
      </w:r>
      <w:r>
        <w:rPr>
          <w:rFonts w:cstheme="minorHAnsi"/>
          <w:color w:val="000000" w:themeColor="text1"/>
          <w:sz w:val="24"/>
          <w:szCs w:val="24"/>
        </w:rPr>
        <w:t>and in</w:t>
      </w:r>
      <w:r w:rsidRPr="005C3322">
        <w:rPr>
          <w:rFonts w:cstheme="minorHAnsi"/>
          <w:color w:val="000000" w:themeColor="text1"/>
          <w:sz w:val="24"/>
          <w:szCs w:val="24"/>
        </w:rPr>
        <w:t xml:space="preserve"> maintaining desired conditions in low fire hazard areas</w:t>
      </w:r>
      <w:r>
        <w:rPr>
          <w:rFonts w:cstheme="minorHAnsi"/>
          <w:color w:val="000000" w:themeColor="text1"/>
          <w:sz w:val="24"/>
          <w:szCs w:val="24"/>
        </w:rPr>
        <w:t xml:space="preserve">. </w:t>
      </w:r>
      <w:r w:rsidRPr="005C3322">
        <w:rPr>
          <w:rFonts w:cstheme="minorHAnsi"/>
          <w:sz w:val="24"/>
          <w:szCs w:val="24"/>
        </w:rPr>
        <w:t>High priorities listed by projects include hazardous fuels reduction, projects in wildland urban interface and forest restoration, areas of high crown fire potential and watersheds, infrastructure, readiness for implementation, and alignment with other existing restoration and community strategies.</w:t>
      </w:r>
      <w:r>
        <w:rPr>
          <w:rFonts w:cstheme="minorHAnsi"/>
          <w:sz w:val="24"/>
          <w:szCs w:val="24"/>
        </w:rPr>
        <w:t xml:space="preserve"> </w:t>
      </w:r>
      <w:r w:rsidRPr="005C3322">
        <w:rPr>
          <w:rFonts w:cstheme="minorHAnsi"/>
          <w:sz w:val="24"/>
          <w:szCs w:val="24"/>
        </w:rPr>
        <w:t xml:space="preserve">CFLRP projects offer many examples of prioritization approaches and how projects designed their treatments to reach project goals.  See </w:t>
      </w:r>
      <w:hyperlink r:id="rId10" w:history="1">
        <w:r>
          <w:rPr>
            <w:rStyle w:val="Hyperlink"/>
            <w:rFonts w:cstheme="minorHAnsi"/>
            <w:sz w:val="24"/>
            <w:szCs w:val="24"/>
          </w:rPr>
          <w:t>e</w:t>
        </w:r>
        <w:r w:rsidRPr="00147044">
          <w:rPr>
            <w:rStyle w:val="Hyperlink"/>
            <w:rFonts w:cstheme="minorHAnsi"/>
            <w:sz w:val="24"/>
            <w:szCs w:val="24"/>
          </w:rPr>
          <w:t xml:space="preserve">xamples of </w:t>
        </w:r>
        <w:r>
          <w:rPr>
            <w:rStyle w:val="Hyperlink"/>
            <w:rFonts w:cstheme="minorHAnsi"/>
            <w:sz w:val="24"/>
            <w:szCs w:val="24"/>
          </w:rPr>
          <w:t>s</w:t>
        </w:r>
        <w:r w:rsidRPr="00147044">
          <w:rPr>
            <w:rStyle w:val="Hyperlink"/>
            <w:rFonts w:cstheme="minorHAnsi"/>
            <w:sz w:val="24"/>
            <w:szCs w:val="24"/>
          </w:rPr>
          <w:t xml:space="preserve">cale and </w:t>
        </w:r>
        <w:r>
          <w:rPr>
            <w:rStyle w:val="Hyperlink"/>
            <w:rFonts w:cstheme="minorHAnsi"/>
            <w:sz w:val="24"/>
            <w:szCs w:val="24"/>
          </w:rPr>
          <w:t>t</w:t>
        </w:r>
        <w:r w:rsidRPr="00147044">
          <w:rPr>
            <w:rStyle w:val="Hyperlink"/>
            <w:rFonts w:cstheme="minorHAnsi"/>
            <w:sz w:val="24"/>
            <w:szCs w:val="24"/>
          </w:rPr>
          <w:t xml:space="preserve">echniques of </w:t>
        </w:r>
        <w:r>
          <w:rPr>
            <w:rStyle w:val="Hyperlink"/>
            <w:rFonts w:cstheme="minorHAnsi"/>
            <w:sz w:val="24"/>
            <w:szCs w:val="24"/>
          </w:rPr>
          <w:t>t</w:t>
        </w:r>
        <w:r w:rsidRPr="00147044">
          <w:rPr>
            <w:rStyle w:val="Hyperlink"/>
            <w:rFonts w:cstheme="minorHAnsi"/>
            <w:sz w:val="24"/>
            <w:szCs w:val="24"/>
          </w:rPr>
          <w:t xml:space="preserve">reatment </w:t>
        </w:r>
        <w:r>
          <w:rPr>
            <w:rStyle w:val="Hyperlink"/>
            <w:rFonts w:cstheme="minorHAnsi"/>
            <w:sz w:val="24"/>
            <w:szCs w:val="24"/>
          </w:rPr>
          <w:t>in the wildfire risk appendix</w:t>
        </w:r>
        <w:r w:rsidRPr="00147044">
          <w:rPr>
            <w:rStyle w:val="Hyperlink"/>
            <w:rFonts w:cstheme="minorHAnsi"/>
            <w:sz w:val="24"/>
            <w:szCs w:val="24"/>
          </w:rPr>
          <w:t xml:space="preserve"> of the full 10-year report</w:t>
        </w:r>
      </w:hyperlink>
      <w:r w:rsidRPr="005C3322">
        <w:rPr>
          <w:rFonts w:cstheme="minorHAnsi"/>
          <w:sz w:val="24"/>
          <w:szCs w:val="24"/>
        </w:rPr>
        <w:t xml:space="preserve"> and in </w:t>
      </w:r>
      <w:hyperlink r:id="rId11" w:history="1">
        <w:r w:rsidRPr="00147044">
          <w:rPr>
            <w:rStyle w:val="Hyperlink"/>
            <w:rFonts w:cstheme="minorHAnsi"/>
            <w:sz w:val="24"/>
            <w:szCs w:val="24"/>
          </w:rPr>
          <w:t>CFLR Project Data</w:t>
        </w:r>
      </w:hyperlink>
      <w:r w:rsidRPr="005C3322">
        <w:rPr>
          <w:rStyle w:val="Hyperlink"/>
          <w:rFonts w:cstheme="minorHAnsi"/>
          <w:sz w:val="24"/>
          <w:szCs w:val="24"/>
        </w:rPr>
        <w:t>.</w:t>
      </w:r>
    </w:p>
    <w:p w14:paraId="57EF4EDD" w14:textId="12B14716" w:rsidR="00E84F8F" w:rsidRDefault="00E84F8F" w:rsidP="00E84F8F">
      <w:pPr>
        <w:spacing w:after="0"/>
        <w:rPr>
          <w:rStyle w:val="Hyperlink"/>
          <w:rFonts w:cstheme="minorHAnsi"/>
          <w:sz w:val="24"/>
          <w:szCs w:val="24"/>
        </w:rPr>
      </w:pPr>
    </w:p>
    <w:p w14:paraId="0514376E" w14:textId="03A46C87" w:rsidR="00E84F8F" w:rsidRPr="00E72E30" w:rsidRDefault="00E84F8F" w:rsidP="00E84F8F">
      <w:pPr>
        <w:pStyle w:val="Heading2"/>
        <w:rPr>
          <w:rFonts w:asciiTheme="minorHAnsi" w:hAnsiTheme="minorHAnsi" w:cstheme="minorHAnsi"/>
          <w:b/>
          <w:bCs/>
          <w:i/>
          <w:iCs/>
          <w:color w:val="auto"/>
          <w:sz w:val="24"/>
          <w:szCs w:val="24"/>
        </w:rPr>
      </w:pPr>
      <w:r w:rsidRPr="00E84F8F">
        <w:rPr>
          <w:rFonts w:asciiTheme="minorHAnsi" w:hAnsiTheme="minorHAnsi" w:cstheme="minorHAnsi"/>
          <w:b/>
          <w:bCs/>
          <w:i/>
          <w:iCs/>
          <w:color w:val="auto"/>
          <w:sz w:val="24"/>
          <w:szCs w:val="24"/>
        </w:rPr>
        <w:t>Role of community engagement</w:t>
      </w:r>
    </w:p>
    <w:p w14:paraId="3218C7F5" w14:textId="77777777" w:rsidR="00E84F8F" w:rsidRDefault="00E84F8F" w:rsidP="00E84F8F">
      <w:pPr>
        <w:spacing w:after="0"/>
        <w:rPr>
          <w:rFonts w:cstheme="minorHAnsi"/>
          <w:color w:val="000000" w:themeColor="text1"/>
          <w:sz w:val="24"/>
          <w:szCs w:val="24"/>
        </w:rPr>
      </w:pPr>
      <w:r>
        <w:rPr>
          <w:rFonts w:cstheme="minorHAnsi"/>
          <w:color w:val="000000" w:themeColor="text1"/>
          <w:sz w:val="24"/>
          <w:szCs w:val="24"/>
        </w:rPr>
        <w:t>C</w:t>
      </w:r>
      <w:r w:rsidRPr="005C3322">
        <w:rPr>
          <w:rFonts w:cstheme="minorHAnsi"/>
          <w:color w:val="000000" w:themeColor="text1"/>
          <w:sz w:val="24"/>
          <w:szCs w:val="24"/>
        </w:rPr>
        <w:t>oordinated efforts with partners were key to the success of fuels reduction treatments. Treatments were coordinated with state agencies, federal agencies, tribes and other organizations. Some examples of projects’ community engagement and partnership strategies, including challenges and strategies for dealing with smoke in communities, are provided in the</w:t>
      </w:r>
      <w:hyperlink w:anchor="_Examples_of_community" w:history="1">
        <w:r>
          <w:rPr>
            <w:rStyle w:val="Hyperlink"/>
            <w:rFonts w:cstheme="minorHAnsi"/>
            <w:sz w:val="24"/>
            <w:szCs w:val="24"/>
          </w:rPr>
          <w:t xml:space="preserve"> wildfire risk appendix of the full 10-year report</w:t>
        </w:r>
        <w:r w:rsidRPr="005C3322">
          <w:rPr>
            <w:rStyle w:val="Hyperlink"/>
            <w:rFonts w:cstheme="minorHAnsi"/>
            <w:sz w:val="24"/>
            <w:szCs w:val="24"/>
          </w:rPr>
          <w:t>.</w:t>
        </w:r>
      </w:hyperlink>
      <w:r w:rsidRPr="005C3322">
        <w:rPr>
          <w:rFonts w:cstheme="minorHAnsi"/>
          <w:color w:val="000000" w:themeColor="text1"/>
          <w:sz w:val="24"/>
          <w:szCs w:val="24"/>
        </w:rPr>
        <w:t xml:space="preserve"> Further examples are in the </w:t>
      </w:r>
      <w:hyperlink r:id="rId12" w:history="1">
        <w:r w:rsidRPr="00147044">
          <w:rPr>
            <w:rStyle w:val="Hyperlink"/>
            <w:rFonts w:cstheme="minorHAnsi"/>
            <w:sz w:val="24"/>
            <w:szCs w:val="24"/>
          </w:rPr>
          <w:t>projects’ annual reports</w:t>
        </w:r>
      </w:hyperlink>
      <w:r>
        <w:rPr>
          <w:rFonts w:cstheme="minorHAnsi"/>
          <w:color w:val="000000" w:themeColor="text1"/>
          <w:sz w:val="24"/>
          <w:szCs w:val="24"/>
        </w:rPr>
        <w:t>.</w:t>
      </w:r>
    </w:p>
    <w:p w14:paraId="3600BF74" w14:textId="55BDA247" w:rsidR="00E84F8F" w:rsidRDefault="00E84F8F" w:rsidP="00E84F8F">
      <w:pPr>
        <w:spacing w:after="0"/>
        <w:rPr>
          <w:rStyle w:val="Hyperlink"/>
          <w:rFonts w:cstheme="minorHAnsi"/>
          <w:sz w:val="24"/>
          <w:szCs w:val="24"/>
        </w:rPr>
      </w:pPr>
    </w:p>
    <w:p w14:paraId="739F1AD9" w14:textId="5D9828FB" w:rsidR="00E84F8F" w:rsidRPr="00E72E30" w:rsidRDefault="00E84F8F" w:rsidP="00E84F8F">
      <w:pPr>
        <w:pStyle w:val="Heading2"/>
        <w:rPr>
          <w:rFonts w:asciiTheme="minorHAnsi" w:hAnsiTheme="minorHAnsi" w:cstheme="minorHAnsi"/>
          <w:b/>
          <w:bCs/>
          <w:i/>
          <w:iCs/>
          <w:color w:val="auto"/>
          <w:sz w:val="24"/>
          <w:szCs w:val="24"/>
        </w:rPr>
      </w:pPr>
      <w:r w:rsidRPr="00E84F8F">
        <w:rPr>
          <w:rFonts w:asciiTheme="minorHAnsi" w:hAnsiTheme="minorHAnsi" w:cstheme="minorHAnsi"/>
          <w:b/>
          <w:bCs/>
          <w:i/>
          <w:iCs/>
          <w:color w:val="auto"/>
          <w:sz w:val="24"/>
          <w:szCs w:val="24"/>
        </w:rPr>
        <w:t>Expanding prescribed fire and the use of wildfire for resource benefit</w:t>
      </w:r>
    </w:p>
    <w:p w14:paraId="45ED6DDE" w14:textId="77777777" w:rsidR="00E84F8F" w:rsidRPr="00A01BB8" w:rsidRDefault="00E84F8F" w:rsidP="00E84F8F">
      <w:pPr>
        <w:spacing w:after="0"/>
        <w:rPr>
          <w:rFonts w:cstheme="minorHAnsi"/>
          <w:sz w:val="24"/>
          <w:szCs w:val="24"/>
        </w:rPr>
      </w:pPr>
      <w:r w:rsidRPr="00A01BB8">
        <w:rPr>
          <w:rFonts w:cstheme="minorHAnsi"/>
          <w:sz w:val="24"/>
          <w:szCs w:val="24"/>
        </w:rPr>
        <w:t>CFLRP projects expanded the scale of prescribed fire on their units and also noted the need to expand this work even further. Best practices for prescribed fire noted by CFLRP projects include:</w:t>
      </w:r>
    </w:p>
    <w:p w14:paraId="409CC101" w14:textId="77777777" w:rsidR="00E84F8F" w:rsidRPr="00A01BB8" w:rsidRDefault="00E84F8F" w:rsidP="00E84F8F">
      <w:pPr>
        <w:pStyle w:val="ListParagraph"/>
        <w:numPr>
          <w:ilvl w:val="0"/>
          <w:numId w:val="29"/>
        </w:numPr>
        <w:rPr>
          <w:rFonts w:cstheme="minorHAnsi"/>
          <w:sz w:val="24"/>
          <w:szCs w:val="24"/>
        </w:rPr>
      </w:pPr>
      <w:r w:rsidRPr="00A01BB8">
        <w:rPr>
          <w:rFonts w:cstheme="minorHAnsi"/>
          <w:sz w:val="24"/>
          <w:szCs w:val="24"/>
        </w:rPr>
        <w:t>Building a long-term and mixed program of work to support a diverse contractor pool</w:t>
      </w:r>
    </w:p>
    <w:p w14:paraId="58A517A8" w14:textId="77777777" w:rsidR="00E84F8F" w:rsidRPr="00A01BB8" w:rsidRDefault="00E84F8F" w:rsidP="00E84F8F">
      <w:pPr>
        <w:pStyle w:val="ListParagraph"/>
        <w:numPr>
          <w:ilvl w:val="0"/>
          <w:numId w:val="29"/>
        </w:numPr>
        <w:rPr>
          <w:rFonts w:cstheme="minorHAnsi"/>
          <w:sz w:val="24"/>
          <w:szCs w:val="24"/>
        </w:rPr>
      </w:pPr>
      <w:r w:rsidRPr="00A01BB8">
        <w:rPr>
          <w:rFonts w:cstheme="minorHAnsi"/>
          <w:sz w:val="24"/>
          <w:szCs w:val="24"/>
        </w:rPr>
        <w:t>Strong community outreach and education campaigns</w:t>
      </w:r>
    </w:p>
    <w:p w14:paraId="50896F22" w14:textId="77777777" w:rsidR="00E84F8F" w:rsidRPr="00A01BB8" w:rsidRDefault="00E84F8F" w:rsidP="00E84F8F">
      <w:pPr>
        <w:pStyle w:val="ListParagraph"/>
        <w:numPr>
          <w:ilvl w:val="0"/>
          <w:numId w:val="29"/>
        </w:numPr>
        <w:rPr>
          <w:rFonts w:cstheme="minorHAnsi"/>
          <w:sz w:val="24"/>
          <w:szCs w:val="24"/>
        </w:rPr>
      </w:pPr>
      <w:r w:rsidRPr="00A01BB8">
        <w:rPr>
          <w:rFonts w:cstheme="minorHAnsi"/>
          <w:sz w:val="24"/>
          <w:szCs w:val="24"/>
        </w:rPr>
        <w:lastRenderedPageBreak/>
        <w:t>Collaborative involvement in implementation – from zones of agreement to contract specifications</w:t>
      </w:r>
    </w:p>
    <w:p w14:paraId="437942CB" w14:textId="77777777" w:rsidR="00E84F8F" w:rsidRPr="00A01BB8" w:rsidRDefault="00E84F8F" w:rsidP="00E84F8F">
      <w:pPr>
        <w:pStyle w:val="ListParagraph"/>
        <w:numPr>
          <w:ilvl w:val="0"/>
          <w:numId w:val="29"/>
        </w:numPr>
        <w:rPr>
          <w:rFonts w:cstheme="minorHAnsi"/>
          <w:sz w:val="24"/>
          <w:szCs w:val="24"/>
        </w:rPr>
      </w:pPr>
      <w:r w:rsidRPr="00A01BB8">
        <w:rPr>
          <w:rFonts w:cstheme="minorHAnsi"/>
          <w:sz w:val="24"/>
          <w:szCs w:val="24"/>
        </w:rPr>
        <w:t>Prioritizing staff resources for critical burn windows</w:t>
      </w:r>
    </w:p>
    <w:p w14:paraId="1E043E9D" w14:textId="51F7D3B7" w:rsidR="00E84F8F" w:rsidRPr="00147044" w:rsidRDefault="00E84F8F" w:rsidP="00E84F8F">
      <w:pPr>
        <w:pStyle w:val="ListParagraph"/>
        <w:numPr>
          <w:ilvl w:val="0"/>
          <w:numId w:val="29"/>
        </w:numPr>
        <w:rPr>
          <w:rFonts w:cstheme="minorHAnsi"/>
          <w:sz w:val="24"/>
          <w:szCs w:val="24"/>
        </w:rPr>
      </w:pPr>
      <w:r w:rsidRPr="00147044">
        <w:rPr>
          <w:rFonts w:cstheme="minorHAnsi"/>
          <w:sz w:val="24"/>
          <w:szCs w:val="24"/>
        </w:rPr>
        <w:t xml:space="preserve">Learning and training networks for prescribed fire, such as </w:t>
      </w:r>
      <w:hyperlink r:id="rId13" w:history="1">
        <w:r w:rsidRPr="00147044">
          <w:rPr>
            <w:rStyle w:val="Hyperlink"/>
            <w:sz w:val="24"/>
            <w:szCs w:val="24"/>
          </w:rPr>
          <w:t>Prescribed Fire Training Exchanges (TREX).</w:t>
        </w:r>
      </w:hyperlink>
    </w:p>
    <w:p w14:paraId="23E2D0D9" w14:textId="77777777" w:rsidR="00E84F8F" w:rsidRPr="00147044" w:rsidRDefault="00E84F8F" w:rsidP="00E84F8F">
      <w:pPr>
        <w:pStyle w:val="ListParagraph"/>
        <w:numPr>
          <w:ilvl w:val="0"/>
          <w:numId w:val="29"/>
        </w:numPr>
        <w:rPr>
          <w:rFonts w:cstheme="minorHAnsi"/>
          <w:sz w:val="24"/>
          <w:szCs w:val="24"/>
        </w:rPr>
      </w:pPr>
      <w:r w:rsidRPr="00147044">
        <w:rPr>
          <w:rFonts w:cstheme="minorHAnsi"/>
          <w:sz w:val="24"/>
          <w:szCs w:val="24"/>
        </w:rPr>
        <w:t xml:space="preserve">Detailed descriptions are these approaches, along with case studies, are </w:t>
      </w:r>
      <w:hyperlink r:id="rId14" w:history="1">
        <w:r w:rsidRPr="00147044">
          <w:rPr>
            <w:rStyle w:val="Hyperlink"/>
            <w:rFonts w:cstheme="minorHAnsi"/>
            <w:sz w:val="24"/>
            <w:szCs w:val="24"/>
          </w:rPr>
          <w:t xml:space="preserve">available in the </w:t>
        </w:r>
        <w:r>
          <w:rPr>
            <w:rStyle w:val="Hyperlink"/>
            <w:rFonts w:cstheme="minorHAnsi"/>
            <w:sz w:val="24"/>
            <w:szCs w:val="24"/>
          </w:rPr>
          <w:t xml:space="preserve">wildfire risk section of the </w:t>
        </w:r>
        <w:r w:rsidRPr="00147044">
          <w:rPr>
            <w:rStyle w:val="Hyperlink"/>
            <w:rFonts w:cstheme="minorHAnsi"/>
            <w:sz w:val="24"/>
            <w:szCs w:val="24"/>
          </w:rPr>
          <w:t xml:space="preserve">full </w:t>
        </w:r>
        <w:r>
          <w:rPr>
            <w:rStyle w:val="Hyperlink"/>
            <w:rFonts w:cstheme="minorHAnsi"/>
            <w:sz w:val="24"/>
            <w:szCs w:val="24"/>
          </w:rPr>
          <w:t>10-year</w:t>
        </w:r>
        <w:r w:rsidRPr="00147044">
          <w:rPr>
            <w:rStyle w:val="Hyperlink"/>
            <w:rFonts w:cstheme="minorHAnsi"/>
            <w:sz w:val="24"/>
            <w:szCs w:val="24"/>
          </w:rPr>
          <w:t xml:space="preserve"> report</w:t>
        </w:r>
      </w:hyperlink>
      <w:r w:rsidRPr="00147044">
        <w:rPr>
          <w:rFonts w:cstheme="minorHAnsi"/>
          <w:sz w:val="24"/>
          <w:szCs w:val="24"/>
        </w:rPr>
        <w:t>.</w:t>
      </w:r>
    </w:p>
    <w:p w14:paraId="4F72D711" w14:textId="77777777" w:rsidR="00E84F8F" w:rsidRPr="00A01BB8" w:rsidRDefault="00E84F8F" w:rsidP="00E84F8F">
      <w:pPr>
        <w:spacing w:after="0"/>
        <w:rPr>
          <w:rFonts w:cstheme="minorHAnsi"/>
          <w:sz w:val="24"/>
          <w:szCs w:val="24"/>
        </w:rPr>
      </w:pPr>
    </w:p>
    <w:p w14:paraId="03B196E6" w14:textId="77777777" w:rsidR="00E84F8F" w:rsidRPr="003900AD" w:rsidRDefault="00E84F8F" w:rsidP="00E84F8F">
      <w:pPr>
        <w:rPr>
          <w:rFonts w:cstheme="minorHAnsi"/>
          <w:color w:val="000000" w:themeColor="text1"/>
          <w:sz w:val="24"/>
          <w:szCs w:val="24"/>
        </w:rPr>
      </w:pPr>
      <w:r w:rsidRPr="003900AD">
        <w:rPr>
          <w:rFonts w:cstheme="minorHAnsi"/>
          <w:sz w:val="24"/>
          <w:szCs w:val="24"/>
        </w:rPr>
        <w:t xml:space="preserve">In general, projects reported that managing wildfires for resource benefit can be incredibly helpful for a landscape from an ecological standpoint and </w:t>
      </w:r>
      <w:r>
        <w:rPr>
          <w:rFonts w:cstheme="minorHAnsi"/>
          <w:sz w:val="24"/>
          <w:szCs w:val="24"/>
        </w:rPr>
        <w:t>also</w:t>
      </w:r>
      <w:r w:rsidRPr="003900AD">
        <w:rPr>
          <w:rFonts w:cstheme="minorHAnsi"/>
          <w:sz w:val="24"/>
          <w:szCs w:val="24"/>
        </w:rPr>
        <w:t xml:space="preserve"> </w:t>
      </w:r>
      <w:r>
        <w:rPr>
          <w:rFonts w:cstheme="minorHAnsi"/>
          <w:sz w:val="24"/>
          <w:szCs w:val="24"/>
        </w:rPr>
        <w:t xml:space="preserve">can </w:t>
      </w:r>
      <w:r w:rsidRPr="003900AD">
        <w:rPr>
          <w:rFonts w:cstheme="minorHAnsi"/>
          <w:sz w:val="24"/>
          <w:szCs w:val="24"/>
        </w:rPr>
        <w:t>lead to increased fire fighter  safety</w:t>
      </w:r>
      <w:r>
        <w:rPr>
          <w:rFonts w:cstheme="minorHAnsi"/>
          <w:sz w:val="24"/>
          <w:szCs w:val="24"/>
        </w:rPr>
        <w:t xml:space="preserve"> and effectiveness</w:t>
      </w:r>
      <w:r w:rsidRPr="003900AD">
        <w:rPr>
          <w:rFonts w:cstheme="minorHAnsi"/>
          <w:sz w:val="24"/>
          <w:szCs w:val="24"/>
        </w:rPr>
        <w:t>. T</w:t>
      </w:r>
      <w:r>
        <w:rPr>
          <w:rFonts w:cstheme="minorHAnsi"/>
          <w:sz w:val="24"/>
          <w:szCs w:val="24"/>
        </w:rPr>
        <w:t>o achieve this</w:t>
      </w:r>
      <w:r w:rsidRPr="003900AD">
        <w:rPr>
          <w:rFonts w:cstheme="minorHAnsi"/>
          <w:sz w:val="24"/>
          <w:szCs w:val="24"/>
        </w:rPr>
        <w:t xml:space="preserve"> requires extensive and advanced land management planning, building community understanding of the technique and </w:t>
      </w:r>
      <w:r>
        <w:rPr>
          <w:rFonts w:cstheme="minorHAnsi"/>
          <w:sz w:val="24"/>
          <w:szCs w:val="24"/>
        </w:rPr>
        <w:t>(</w:t>
      </w:r>
      <w:r w:rsidRPr="003900AD">
        <w:rPr>
          <w:rFonts w:cstheme="minorHAnsi"/>
          <w:sz w:val="24"/>
          <w:szCs w:val="24"/>
        </w:rPr>
        <w:t>often</w:t>
      </w:r>
      <w:r>
        <w:rPr>
          <w:rFonts w:cstheme="minorHAnsi"/>
          <w:sz w:val="24"/>
          <w:szCs w:val="24"/>
        </w:rPr>
        <w:t>)</w:t>
      </w:r>
      <w:r w:rsidRPr="003900AD">
        <w:rPr>
          <w:rFonts w:cstheme="minorHAnsi"/>
          <w:sz w:val="24"/>
          <w:szCs w:val="24"/>
        </w:rPr>
        <w:t xml:space="preserve"> involv</w:t>
      </w:r>
      <w:r>
        <w:rPr>
          <w:rFonts w:cstheme="minorHAnsi"/>
          <w:sz w:val="24"/>
          <w:szCs w:val="24"/>
        </w:rPr>
        <w:t xml:space="preserve">ing </w:t>
      </w:r>
      <w:r w:rsidRPr="003900AD">
        <w:rPr>
          <w:rFonts w:cstheme="minorHAnsi"/>
          <w:sz w:val="24"/>
          <w:szCs w:val="24"/>
        </w:rPr>
        <w:t>change</w:t>
      </w:r>
      <w:r>
        <w:rPr>
          <w:rFonts w:cstheme="minorHAnsi"/>
          <w:sz w:val="24"/>
          <w:szCs w:val="24"/>
        </w:rPr>
        <w:t>s in</w:t>
      </w:r>
      <w:r w:rsidRPr="003900AD">
        <w:rPr>
          <w:rFonts w:cstheme="minorHAnsi"/>
          <w:sz w:val="24"/>
          <w:szCs w:val="24"/>
        </w:rPr>
        <w:t xml:space="preserve"> Forest Service business practices.</w:t>
      </w:r>
      <w:r w:rsidRPr="003900AD">
        <w:rPr>
          <w:rFonts w:cstheme="minorHAnsi"/>
          <w:iCs/>
          <w:sz w:val="24"/>
          <w:szCs w:val="24"/>
        </w:rPr>
        <w:t xml:space="preserve"> </w:t>
      </w:r>
      <w:hyperlink r:id="rId15" w:history="1">
        <w:r w:rsidRPr="003900AD">
          <w:rPr>
            <w:rStyle w:val="Hyperlink"/>
            <w:rFonts w:cs="Calibri"/>
            <w:sz w:val="24"/>
            <w:szCs w:val="24"/>
          </w:rPr>
          <w:t xml:space="preserve">See the wildfire risk </w:t>
        </w:r>
        <w:r>
          <w:rPr>
            <w:rStyle w:val="Hyperlink"/>
            <w:rFonts w:cs="Calibri"/>
            <w:sz w:val="24"/>
            <w:szCs w:val="24"/>
          </w:rPr>
          <w:t>appendix</w:t>
        </w:r>
        <w:r w:rsidRPr="003900AD">
          <w:rPr>
            <w:rStyle w:val="Hyperlink"/>
            <w:rFonts w:cs="Calibri"/>
            <w:sz w:val="24"/>
            <w:szCs w:val="24"/>
          </w:rPr>
          <w:t xml:space="preserve"> of the </w:t>
        </w:r>
        <w:r>
          <w:rPr>
            <w:rStyle w:val="Hyperlink"/>
            <w:rFonts w:cs="Calibri"/>
            <w:sz w:val="24"/>
            <w:szCs w:val="24"/>
          </w:rPr>
          <w:t xml:space="preserve">full </w:t>
        </w:r>
        <w:r w:rsidRPr="003900AD">
          <w:rPr>
            <w:rStyle w:val="Hyperlink"/>
            <w:rFonts w:cs="Calibri"/>
            <w:sz w:val="24"/>
            <w:szCs w:val="24"/>
          </w:rPr>
          <w:t xml:space="preserve">10-year report </w:t>
        </w:r>
        <w:r>
          <w:rPr>
            <w:rStyle w:val="Hyperlink"/>
            <w:rFonts w:cs="Calibri"/>
            <w:sz w:val="24"/>
            <w:szCs w:val="24"/>
          </w:rPr>
          <w:t>for</w:t>
        </w:r>
        <w:r w:rsidRPr="003900AD">
          <w:rPr>
            <w:rStyle w:val="Hyperlink"/>
            <w:rFonts w:cs="Calibri"/>
            <w:sz w:val="24"/>
            <w:szCs w:val="24"/>
          </w:rPr>
          <w:t xml:space="preserve"> </w:t>
        </w:r>
        <w:r>
          <w:rPr>
            <w:rStyle w:val="Hyperlink"/>
            <w:rFonts w:cs="Calibri"/>
            <w:sz w:val="24"/>
            <w:szCs w:val="24"/>
          </w:rPr>
          <w:t xml:space="preserve">specific project </w:t>
        </w:r>
        <w:r>
          <w:rPr>
            <w:rStyle w:val="Hyperlink"/>
            <w:rFonts w:cstheme="minorHAnsi"/>
            <w:iCs/>
            <w:sz w:val="24"/>
            <w:szCs w:val="24"/>
          </w:rPr>
          <w:t>successes and challenges</w:t>
        </w:r>
        <w:r w:rsidRPr="003900AD">
          <w:rPr>
            <w:rStyle w:val="Hyperlink"/>
            <w:rFonts w:cstheme="minorHAnsi"/>
            <w:iCs/>
            <w:sz w:val="24"/>
            <w:szCs w:val="24"/>
          </w:rPr>
          <w:t xml:space="preserve"> </w:t>
        </w:r>
        <w:r>
          <w:rPr>
            <w:rStyle w:val="Hyperlink"/>
            <w:rFonts w:cstheme="minorHAnsi"/>
            <w:iCs/>
            <w:sz w:val="24"/>
            <w:szCs w:val="24"/>
          </w:rPr>
          <w:t xml:space="preserve">in using </w:t>
        </w:r>
        <w:r w:rsidRPr="003900AD">
          <w:rPr>
            <w:rStyle w:val="Hyperlink"/>
            <w:rFonts w:cstheme="minorHAnsi"/>
            <w:iCs/>
            <w:sz w:val="24"/>
            <w:szCs w:val="24"/>
          </w:rPr>
          <w:t>wildfire use for resource benefit.</w:t>
        </w:r>
      </w:hyperlink>
      <w:r w:rsidRPr="003900AD">
        <w:rPr>
          <w:rStyle w:val="Hyperlink"/>
          <w:rFonts w:cstheme="minorHAnsi"/>
          <w:iCs/>
          <w:sz w:val="24"/>
          <w:szCs w:val="24"/>
        </w:rPr>
        <w:t xml:space="preserve"> </w:t>
      </w:r>
      <w:r w:rsidRPr="003900AD">
        <w:rPr>
          <w:rStyle w:val="Hyperlink"/>
          <w:rFonts w:cstheme="minorHAnsi"/>
          <w:iCs/>
          <w:color w:val="auto"/>
          <w:sz w:val="24"/>
          <w:szCs w:val="24"/>
          <w:u w:val="none"/>
        </w:rPr>
        <w:t>These examples</w:t>
      </w:r>
      <w:r w:rsidRPr="003900AD">
        <w:rPr>
          <w:rFonts w:cstheme="minorHAnsi"/>
          <w:iCs/>
          <w:sz w:val="24"/>
          <w:szCs w:val="24"/>
        </w:rPr>
        <w:t xml:space="preserve"> illustrate both the potential benefits of this tool and the challenges of aligning all the needed factors for it to be feasible.</w:t>
      </w:r>
    </w:p>
    <w:p w14:paraId="67074F2A" w14:textId="77777777" w:rsidR="00E84F8F" w:rsidRPr="004B59F0" w:rsidRDefault="00E84F8F" w:rsidP="00E84F8F">
      <w:pPr>
        <w:spacing w:after="0"/>
        <w:rPr>
          <w:rStyle w:val="Hyperlink"/>
          <w:rFonts w:cstheme="minorHAnsi"/>
          <w:color w:val="auto"/>
          <w:sz w:val="24"/>
          <w:szCs w:val="24"/>
          <w:u w:val="none"/>
        </w:rPr>
      </w:pPr>
    </w:p>
    <w:p w14:paraId="07852399" w14:textId="709D51C4" w:rsidR="00771DC0" w:rsidRDefault="00E84F8F" w:rsidP="00771DC0">
      <w:pPr>
        <w:pStyle w:val="NoSpacing"/>
        <w:rPr>
          <w:rFonts w:eastAsiaTheme="majorEastAsia" w:cstheme="minorHAnsi"/>
          <w:b/>
          <w:bCs/>
          <w:i/>
          <w:iCs/>
          <w:sz w:val="24"/>
          <w:szCs w:val="24"/>
        </w:rPr>
      </w:pPr>
      <w:r w:rsidRPr="00E84F8F">
        <w:rPr>
          <w:rFonts w:eastAsiaTheme="majorEastAsia" w:cstheme="minorHAnsi"/>
          <w:b/>
          <w:bCs/>
          <w:i/>
          <w:iCs/>
          <w:sz w:val="24"/>
          <w:szCs w:val="24"/>
        </w:rPr>
        <w:t>What questions emerged needing more investigation?</w:t>
      </w:r>
    </w:p>
    <w:p w14:paraId="61730F7B" w14:textId="77777777" w:rsidR="00E84F8F" w:rsidRPr="00A01BB8" w:rsidRDefault="00E84F8F" w:rsidP="00E84F8F">
      <w:pPr>
        <w:spacing w:after="0"/>
        <w:rPr>
          <w:sz w:val="24"/>
          <w:szCs w:val="24"/>
        </w:rPr>
      </w:pPr>
      <w:r w:rsidRPr="00A01BB8">
        <w:rPr>
          <w:sz w:val="24"/>
          <w:szCs w:val="24"/>
        </w:rPr>
        <w:t>There are many questions around wildfire risk reduction that need further investigation; see the full report for a comprehensive list</w:t>
      </w:r>
      <w:r>
        <w:rPr>
          <w:sz w:val="24"/>
          <w:szCs w:val="24"/>
        </w:rPr>
        <w:t>.  Issues requiring</w:t>
      </w:r>
      <w:r w:rsidRPr="00A01BB8">
        <w:rPr>
          <w:sz w:val="24"/>
          <w:szCs w:val="24"/>
        </w:rPr>
        <w:t xml:space="preserve"> the most attention include:</w:t>
      </w:r>
    </w:p>
    <w:p w14:paraId="1625C9D6" w14:textId="77777777" w:rsidR="00E84F8F" w:rsidRPr="00A01BB8" w:rsidRDefault="00E84F8F" w:rsidP="00E84F8F">
      <w:pPr>
        <w:pStyle w:val="ListParagraph"/>
        <w:numPr>
          <w:ilvl w:val="0"/>
          <w:numId w:val="30"/>
        </w:numPr>
        <w:rPr>
          <w:rFonts w:cstheme="minorHAnsi"/>
          <w:color w:val="000000" w:themeColor="text1"/>
          <w:sz w:val="24"/>
          <w:szCs w:val="24"/>
        </w:rPr>
      </w:pPr>
      <w:r w:rsidRPr="00A01BB8">
        <w:rPr>
          <w:rFonts w:cstheme="minorHAnsi"/>
          <w:color w:val="000000" w:themeColor="text1"/>
          <w:sz w:val="24"/>
          <w:szCs w:val="24"/>
        </w:rPr>
        <w:t xml:space="preserve">Further analysis is needed on the strategic placement of treatments across the landscape – are treatments occurring in the highest priority places for the biggest impact at the landscape scale? </w:t>
      </w:r>
    </w:p>
    <w:p w14:paraId="42BCDCA7" w14:textId="77777777" w:rsidR="00E84F8F" w:rsidRPr="00A01BB8" w:rsidRDefault="00E84F8F" w:rsidP="00E84F8F">
      <w:pPr>
        <w:pStyle w:val="ListParagraph"/>
        <w:numPr>
          <w:ilvl w:val="0"/>
          <w:numId w:val="30"/>
        </w:numPr>
        <w:rPr>
          <w:rFonts w:cstheme="minorHAnsi"/>
          <w:color w:val="000000" w:themeColor="text1"/>
          <w:sz w:val="24"/>
          <w:szCs w:val="24"/>
        </w:rPr>
      </w:pPr>
      <w:r w:rsidRPr="00A01BB8">
        <w:rPr>
          <w:rFonts w:cstheme="minorHAnsi"/>
          <w:color w:val="000000" w:themeColor="text1"/>
          <w:sz w:val="24"/>
          <w:szCs w:val="24"/>
        </w:rPr>
        <w:t xml:space="preserve">What role can spatial planning tools like Potential Operational Delineations (PODs) or scenario investment planning play in promoting strategic treatments? </w:t>
      </w:r>
    </w:p>
    <w:p w14:paraId="6269B833" w14:textId="77777777" w:rsidR="00E84F8F" w:rsidRPr="003B4A7F" w:rsidRDefault="00E84F8F" w:rsidP="00E84F8F">
      <w:pPr>
        <w:pStyle w:val="ListParagraph"/>
        <w:numPr>
          <w:ilvl w:val="0"/>
          <w:numId w:val="30"/>
        </w:numPr>
        <w:rPr>
          <w:rFonts w:cstheme="minorHAnsi"/>
          <w:color w:val="000000" w:themeColor="text1"/>
          <w:sz w:val="24"/>
          <w:szCs w:val="24"/>
        </w:rPr>
      </w:pPr>
      <w:r w:rsidRPr="003B4A7F">
        <w:rPr>
          <w:rFonts w:cstheme="minorHAnsi"/>
          <w:color w:val="000000" w:themeColor="text1"/>
          <w:sz w:val="24"/>
          <w:szCs w:val="24"/>
        </w:rPr>
        <w:t xml:space="preserve">There is a broad community working on this challenge; how can CFLRP best add to this effort? </w:t>
      </w:r>
    </w:p>
    <w:p w14:paraId="0CCC6BF3" w14:textId="12BFDCBD" w:rsidR="00E84F8F" w:rsidRPr="003B4A7F" w:rsidRDefault="00E84F8F" w:rsidP="00E84F8F">
      <w:pPr>
        <w:pStyle w:val="ListParagraph"/>
        <w:numPr>
          <w:ilvl w:val="0"/>
          <w:numId w:val="30"/>
        </w:numPr>
        <w:rPr>
          <w:bCs/>
          <w:sz w:val="24"/>
          <w:szCs w:val="24"/>
        </w:rPr>
      </w:pPr>
      <w:r w:rsidRPr="003B4A7F">
        <w:rPr>
          <w:rFonts w:cstheme="minorHAnsi"/>
          <w:sz w:val="24"/>
          <w:szCs w:val="24"/>
        </w:rPr>
        <w:t xml:space="preserve">More work is needed </w:t>
      </w:r>
      <w:r w:rsidRPr="003B4A7F">
        <w:rPr>
          <w:bCs/>
          <w:sz w:val="24"/>
          <w:szCs w:val="24"/>
        </w:rPr>
        <w:t xml:space="preserve">to fully understand benefits and avoided costs achieved from fuel treatments.  </w:t>
      </w:r>
    </w:p>
    <w:p w14:paraId="5E56C7C2" w14:textId="77777777" w:rsidR="00E84F8F" w:rsidRDefault="00E84F8F" w:rsidP="00771DC0">
      <w:pPr>
        <w:pStyle w:val="NoSpacing"/>
      </w:pPr>
    </w:p>
    <w:bookmarkEnd w:id="6"/>
    <w:bookmarkEnd w:id="7"/>
    <w:p w14:paraId="19B34CAC" w14:textId="77777777" w:rsidR="00771DC0" w:rsidRPr="00647303" w:rsidRDefault="00771DC0" w:rsidP="00771DC0">
      <w:pPr>
        <w:pStyle w:val="Heading2"/>
        <w:rPr>
          <w:b/>
          <w:bCs/>
        </w:rPr>
      </w:pPr>
      <w:r w:rsidRPr="00647303">
        <w:rPr>
          <w:b/>
          <w:bCs/>
        </w:rPr>
        <w:t>Where to Learn More</w:t>
      </w:r>
      <w:r>
        <w:rPr>
          <w:b/>
          <w:bCs/>
        </w:rPr>
        <w:t xml:space="preserve"> </w:t>
      </w:r>
      <w:r w:rsidRPr="00041F67">
        <w:rPr>
          <w:b/>
          <w:bCs/>
          <w:i/>
          <w:iCs/>
        </w:rPr>
        <w:t xml:space="preserve">(selected resources from </w:t>
      </w:r>
      <w:hyperlink r:id="rId16" w:history="1">
        <w:r w:rsidRPr="00041F67">
          <w:rPr>
            <w:rStyle w:val="Hyperlink"/>
            <w:b/>
            <w:bCs/>
            <w:i/>
            <w:iCs/>
          </w:rPr>
          <w:t>CFLRP Results and Lessons Learned</w:t>
        </w:r>
      </w:hyperlink>
      <w:r w:rsidRPr="00041F67">
        <w:rPr>
          <w:b/>
          <w:bCs/>
          <w:i/>
          <w:iCs/>
        </w:rPr>
        <w:t>)</w:t>
      </w:r>
      <w:r>
        <w:rPr>
          <w:b/>
          <w:bCs/>
        </w:rPr>
        <w:t xml:space="preserve"> </w:t>
      </w:r>
    </w:p>
    <w:p w14:paraId="0E911CC8" w14:textId="77777777" w:rsidR="00771DC0" w:rsidRPr="003A5F6D" w:rsidRDefault="00771DC0" w:rsidP="00771DC0">
      <w:r w:rsidRPr="00272EF5">
        <w:rPr>
          <w:noProof/>
        </w:rPr>
        <mc:AlternateContent>
          <mc:Choice Requires="wps">
            <w:drawing>
              <wp:inline distT="0" distB="0" distL="0" distR="0" wp14:anchorId="61305C96" wp14:editId="3B6CB6BD">
                <wp:extent cx="6134986" cy="2114093"/>
                <wp:effectExtent l="0" t="0" r="18415" b="1968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986" cy="211409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3FCCEF9" w14:textId="77777777" w:rsidR="00E84F8F" w:rsidRPr="00123340" w:rsidRDefault="00E84F8F" w:rsidP="00E84F8F">
                            <w:pPr>
                              <w:pStyle w:val="ListParagraph"/>
                              <w:numPr>
                                <w:ilvl w:val="0"/>
                                <w:numId w:val="22"/>
                              </w:numPr>
                              <w:spacing w:after="160" w:line="259" w:lineRule="auto"/>
                              <w:rPr>
                                <w:rStyle w:val="Hyperlink"/>
                                <w:color w:val="000000" w:themeColor="text1"/>
                                <w:u w:val="none"/>
                              </w:rPr>
                            </w:pPr>
                            <w:r>
                              <w:rPr>
                                <w:color w:val="000000" w:themeColor="text1"/>
                              </w:rPr>
                              <w:t xml:space="preserve">CFLRP Project Accomplishments: see </w:t>
                            </w:r>
                            <w:hyperlink r:id="rId17" w:history="1">
                              <w:r w:rsidRPr="00123340">
                                <w:rPr>
                                  <w:rStyle w:val="Hyperlink"/>
                                </w:rPr>
                                <w:t>Annual Project Reports</w:t>
                              </w:r>
                            </w:hyperlink>
                            <w:r>
                              <w:rPr>
                                <w:color w:val="000000" w:themeColor="text1"/>
                              </w:rPr>
                              <w:t xml:space="preserve"> </w:t>
                            </w:r>
                          </w:p>
                          <w:p w14:paraId="349CEB51" w14:textId="77777777" w:rsidR="00E84F8F" w:rsidRDefault="00E84F8F" w:rsidP="00E84F8F">
                            <w:pPr>
                              <w:pStyle w:val="ListParagraph"/>
                              <w:numPr>
                                <w:ilvl w:val="0"/>
                                <w:numId w:val="22"/>
                              </w:numPr>
                              <w:spacing w:after="160" w:line="259" w:lineRule="auto"/>
                              <w:rPr>
                                <w:color w:val="000000" w:themeColor="text1"/>
                              </w:rPr>
                            </w:pPr>
                            <w:r>
                              <w:rPr>
                                <w:color w:val="000000" w:themeColor="text1"/>
                              </w:rPr>
                              <w:t xml:space="preserve">Restoring natural fire regimes: see </w:t>
                            </w:r>
                            <w:hyperlink r:id="rId18" w:history="1">
                              <w:r w:rsidRPr="00123340">
                                <w:rPr>
                                  <w:rStyle w:val="Hyperlink"/>
                                </w:rPr>
                                <w:t>2019 and 2014 Ecological Indicator Reports</w:t>
                              </w:r>
                            </w:hyperlink>
                            <w:r>
                              <w:rPr>
                                <w:color w:val="000000" w:themeColor="text1"/>
                              </w:rPr>
                              <w:t>, including a</w:t>
                            </w:r>
                            <w:r w:rsidRPr="00123340">
                              <w:rPr>
                                <w:color w:val="000000" w:themeColor="text1"/>
                              </w:rPr>
                              <w:t xml:space="preserve"> spreadsheet summary </w:t>
                            </w:r>
                            <w:r>
                              <w:rPr>
                                <w:color w:val="000000" w:themeColor="text1"/>
                              </w:rPr>
                              <w:t xml:space="preserve">of </w:t>
                            </w:r>
                            <w:r w:rsidRPr="00123340">
                              <w:rPr>
                                <w:color w:val="000000" w:themeColor="text1"/>
                              </w:rPr>
                              <w:t>2019 Ecological Indicator Report Responses</w:t>
                            </w:r>
                            <w:r>
                              <w:rPr>
                                <w:color w:val="000000" w:themeColor="text1"/>
                              </w:rPr>
                              <w:t>.  A summary of the wildfire risk components of these reports is also available in the</w:t>
                            </w:r>
                            <w:r w:rsidRPr="002B254E">
                              <w:rPr>
                                <w:color w:val="000000" w:themeColor="text1"/>
                              </w:rPr>
                              <w:t xml:space="preserve"> </w:t>
                            </w:r>
                            <w:r>
                              <w:rPr>
                                <w:color w:val="000000" w:themeColor="text1"/>
                              </w:rPr>
                              <w:t>w</w:t>
                            </w:r>
                            <w:r w:rsidRPr="002B254E">
                              <w:rPr>
                                <w:color w:val="000000" w:themeColor="text1"/>
                              </w:rPr>
                              <w:t xml:space="preserve">ildfire </w:t>
                            </w:r>
                            <w:r>
                              <w:rPr>
                                <w:color w:val="000000" w:themeColor="text1"/>
                              </w:rPr>
                              <w:t>r</w:t>
                            </w:r>
                            <w:r w:rsidRPr="002B254E">
                              <w:rPr>
                                <w:color w:val="000000" w:themeColor="text1"/>
                              </w:rPr>
                              <w:t xml:space="preserve">isk </w:t>
                            </w:r>
                            <w:r>
                              <w:rPr>
                                <w:color w:val="000000" w:themeColor="text1"/>
                              </w:rPr>
                              <w:t xml:space="preserve">section of the </w:t>
                            </w:r>
                            <w:r w:rsidRPr="002B254E">
                              <w:rPr>
                                <w:color w:val="000000" w:themeColor="text1"/>
                              </w:rPr>
                              <w:t>full 10-year report</w:t>
                            </w:r>
                            <w:r>
                              <w:rPr>
                                <w:color w:val="000000" w:themeColor="text1"/>
                              </w:rPr>
                              <w:t xml:space="preserve">. </w:t>
                            </w:r>
                          </w:p>
                          <w:p w14:paraId="02FC597F" w14:textId="77777777" w:rsidR="00E84F8F" w:rsidRPr="00693E40" w:rsidRDefault="00E84F8F" w:rsidP="00E84F8F">
                            <w:pPr>
                              <w:pStyle w:val="ListParagraph"/>
                              <w:numPr>
                                <w:ilvl w:val="0"/>
                                <w:numId w:val="22"/>
                              </w:numPr>
                              <w:spacing w:after="160" w:line="259" w:lineRule="auto"/>
                              <w:rPr>
                                <w:rFonts w:cstheme="minorHAnsi"/>
                              </w:rPr>
                            </w:pPr>
                            <w:r w:rsidRPr="00693E40">
                              <w:t xml:space="preserve">A more detailed description of the wildfire risk reduction pilot is available in the wildfire risk section of the </w:t>
                            </w:r>
                            <w:hyperlink r:id="rId19" w:history="1">
                              <w:r w:rsidRPr="00693E40">
                                <w:rPr>
                                  <w:rStyle w:val="Hyperlink"/>
                                </w:rPr>
                                <w:t>full 10-year report</w:t>
                              </w:r>
                            </w:hyperlink>
                            <w:r w:rsidRPr="00693E40">
                              <w:t xml:space="preserve">.  For further information on </w:t>
                            </w:r>
                            <w:r w:rsidRPr="00693E40">
                              <w:rPr>
                                <w:rFonts w:cstheme="minorHAnsi"/>
                                <w:color w:val="000000" w:themeColor="text1"/>
                              </w:rPr>
                              <w:t xml:space="preserve">Risk and Cost Analysis Toolkit </w:t>
                            </w:r>
                            <w:r>
                              <w:rPr>
                                <w:rFonts w:cstheme="minorHAnsi"/>
                                <w:color w:val="000000" w:themeColor="text1"/>
                              </w:rPr>
                              <w:t xml:space="preserve">visit the </w:t>
                            </w:r>
                            <w:hyperlink r:id="rId20" w:history="1">
                              <w:r w:rsidRPr="00693E40">
                                <w:rPr>
                                  <w:rStyle w:val="Hyperlink"/>
                                  <w:rFonts w:cstheme="minorHAnsi"/>
                                </w:rPr>
                                <w:t>Reporting section</w:t>
                              </w:r>
                            </w:hyperlink>
                            <w:r>
                              <w:rPr>
                                <w:rFonts w:cstheme="minorHAnsi"/>
                                <w:color w:val="000000" w:themeColor="text1"/>
                              </w:rPr>
                              <w:t xml:space="preserve"> of the CFLRP website</w:t>
                            </w:r>
                            <w:r w:rsidRPr="00693E40">
                              <w:rPr>
                                <w:rFonts w:cstheme="minorHAnsi"/>
                                <w:color w:val="4472C4" w:themeColor="accent1"/>
                              </w:rPr>
                              <w:t>.</w:t>
                            </w:r>
                          </w:p>
                          <w:p w14:paraId="26021329" w14:textId="17A5530B" w:rsidR="00E84F8F" w:rsidRPr="00693E40" w:rsidRDefault="00E84F8F" w:rsidP="00E84F8F">
                            <w:pPr>
                              <w:pStyle w:val="ListParagraph"/>
                              <w:numPr>
                                <w:ilvl w:val="0"/>
                                <w:numId w:val="22"/>
                              </w:numPr>
                              <w:rPr>
                                <w:rFonts w:cstheme="minorHAnsi"/>
                              </w:rPr>
                            </w:pPr>
                            <w:r>
                              <w:rPr>
                                <w:rFonts w:cstheme="minorHAnsi"/>
                              </w:rPr>
                              <w:t>I</w:t>
                            </w:r>
                            <w:r w:rsidRPr="00693E40">
                              <w:rPr>
                                <w:rFonts w:cstheme="minorHAnsi"/>
                              </w:rPr>
                              <w:t xml:space="preserve">mpacts, approaches to expanding the use of prescribed fire, and successes and challenges in the using wildfire for resource benefit are </w:t>
                            </w:r>
                            <w:hyperlink r:id="rId21" w:history="1">
                              <w:r w:rsidRPr="00693E40">
                                <w:rPr>
                                  <w:rStyle w:val="Hyperlink"/>
                                  <w:rFonts w:cstheme="minorHAnsi"/>
                                </w:rPr>
                                <w:t>available in the wildfire risk section of the full 10-year report</w:t>
                              </w:r>
                            </w:hyperlink>
                            <w:r w:rsidRPr="00693E40">
                              <w:rPr>
                                <w:rFonts w:cstheme="minorHAnsi"/>
                              </w:rPr>
                              <w:t>.</w:t>
                            </w:r>
                          </w:p>
                          <w:p w14:paraId="42DE745C" w14:textId="77777777" w:rsidR="00771DC0" w:rsidRPr="0002672C" w:rsidRDefault="00771DC0" w:rsidP="00771DC0">
                            <w:pPr>
                              <w:pStyle w:val="NoSpacing"/>
                              <w:ind w:left="720"/>
                            </w:pPr>
                          </w:p>
                        </w:txbxContent>
                      </wps:txbx>
                      <wps:bodyPr rot="0" vert="horz" wrap="square" lIns="91440" tIns="45720" rIns="91440" bIns="45720" anchor="t" anchorCtr="0">
                        <a:noAutofit/>
                      </wps:bodyPr>
                    </wps:wsp>
                  </a:graphicData>
                </a:graphic>
              </wp:inline>
            </w:drawing>
          </mc:Choice>
          <mc:Fallback>
            <w:pict>
              <v:shape w14:anchorId="61305C96" id="Text Box 2" o:spid="_x0000_s1029" type="#_x0000_t202" style="width:483.05pt;height:1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" fillcolor="white [3201]" strokecolor="#4472c4 [3204]" strokeweight="1pt">
                <v:textbox>
                  <w:txbxContent>
                    <w:p w14:paraId="23FCCEF9" w14:textId="77777777" w:rsidR="00E84F8F" w:rsidRPr="00123340" w:rsidRDefault="00E84F8F" w:rsidP="00E84F8F">
                      <w:pPr>
                        <w:pStyle w:val="ListParagraph"/>
                        <w:numPr>
                          <w:ilvl w:val="0"/>
                          <w:numId w:val="22"/>
                        </w:numPr>
                        <w:spacing w:after="160" w:line="259" w:lineRule="auto"/>
                        <w:rPr>
                          <w:rStyle w:val="Hyperlink"/>
                          <w:color w:val="000000" w:themeColor="text1"/>
                          <w:u w:val="none"/>
                        </w:rPr>
                      </w:pPr>
                      <w:r>
                        <w:rPr>
                          <w:color w:val="000000" w:themeColor="text1"/>
                        </w:rPr>
                        <w:t xml:space="preserve">CFLRP Project Accomplishments: see </w:t>
                      </w:r>
                      <w:hyperlink r:id="rId22" w:history="1">
                        <w:r w:rsidRPr="00123340">
                          <w:rPr>
                            <w:rStyle w:val="Hyperlink"/>
                          </w:rPr>
                          <w:t>Annual Project Reports</w:t>
                        </w:r>
                      </w:hyperlink>
                      <w:r>
                        <w:rPr>
                          <w:color w:val="000000" w:themeColor="text1"/>
                        </w:rPr>
                        <w:t xml:space="preserve"> </w:t>
                      </w:r>
                    </w:p>
                    <w:p w14:paraId="349CEB51" w14:textId="77777777" w:rsidR="00E84F8F" w:rsidRDefault="00E84F8F" w:rsidP="00E84F8F">
                      <w:pPr>
                        <w:pStyle w:val="ListParagraph"/>
                        <w:numPr>
                          <w:ilvl w:val="0"/>
                          <w:numId w:val="22"/>
                        </w:numPr>
                        <w:spacing w:after="160" w:line="259" w:lineRule="auto"/>
                        <w:rPr>
                          <w:color w:val="000000" w:themeColor="text1"/>
                        </w:rPr>
                      </w:pPr>
                      <w:r>
                        <w:rPr>
                          <w:color w:val="000000" w:themeColor="text1"/>
                        </w:rPr>
                        <w:t xml:space="preserve">Restoring natural fire regimes: see </w:t>
                      </w:r>
                      <w:hyperlink r:id="rId23" w:history="1">
                        <w:r w:rsidRPr="00123340">
                          <w:rPr>
                            <w:rStyle w:val="Hyperlink"/>
                          </w:rPr>
                          <w:t>2019 and 2014 Ecological Indicator Reports</w:t>
                        </w:r>
                      </w:hyperlink>
                      <w:r>
                        <w:rPr>
                          <w:color w:val="000000" w:themeColor="text1"/>
                        </w:rPr>
                        <w:t>, including a</w:t>
                      </w:r>
                      <w:r w:rsidRPr="00123340">
                        <w:rPr>
                          <w:color w:val="000000" w:themeColor="text1"/>
                        </w:rPr>
                        <w:t xml:space="preserve"> spreadsheet summary </w:t>
                      </w:r>
                      <w:r>
                        <w:rPr>
                          <w:color w:val="000000" w:themeColor="text1"/>
                        </w:rPr>
                        <w:t xml:space="preserve">of </w:t>
                      </w:r>
                      <w:r w:rsidRPr="00123340">
                        <w:rPr>
                          <w:color w:val="000000" w:themeColor="text1"/>
                        </w:rPr>
                        <w:t>2019 Ecological Indicator Report Responses</w:t>
                      </w:r>
                      <w:r>
                        <w:rPr>
                          <w:color w:val="000000" w:themeColor="text1"/>
                        </w:rPr>
                        <w:t>.  A summary of the wildfire risk components of these reports is also available in the</w:t>
                      </w:r>
                      <w:r w:rsidRPr="002B254E">
                        <w:rPr>
                          <w:color w:val="000000" w:themeColor="text1"/>
                        </w:rPr>
                        <w:t xml:space="preserve"> </w:t>
                      </w:r>
                      <w:r>
                        <w:rPr>
                          <w:color w:val="000000" w:themeColor="text1"/>
                        </w:rPr>
                        <w:t>w</w:t>
                      </w:r>
                      <w:r w:rsidRPr="002B254E">
                        <w:rPr>
                          <w:color w:val="000000" w:themeColor="text1"/>
                        </w:rPr>
                        <w:t xml:space="preserve">ildfire </w:t>
                      </w:r>
                      <w:r>
                        <w:rPr>
                          <w:color w:val="000000" w:themeColor="text1"/>
                        </w:rPr>
                        <w:t>r</w:t>
                      </w:r>
                      <w:r w:rsidRPr="002B254E">
                        <w:rPr>
                          <w:color w:val="000000" w:themeColor="text1"/>
                        </w:rPr>
                        <w:t xml:space="preserve">isk </w:t>
                      </w:r>
                      <w:r>
                        <w:rPr>
                          <w:color w:val="000000" w:themeColor="text1"/>
                        </w:rPr>
                        <w:t xml:space="preserve">section of the </w:t>
                      </w:r>
                      <w:r w:rsidRPr="002B254E">
                        <w:rPr>
                          <w:color w:val="000000" w:themeColor="text1"/>
                        </w:rPr>
                        <w:t>full 10-year report</w:t>
                      </w:r>
                      <w:r>
                        <w:rPr>
                          <w:color w:val="000000" w:themeColor="text1"/>
                        </w:rPr>
                        <w:t xml:space="preserve">. </w:t>
                      </w:r>
                    </w:p>
                    <w:p w14:paraId="02FC597F" w14:textId="77777777" w:rsidR="00E84F8F" w:rsidRPr="00693E40" w:rsidRDefault="00E84F8F" w:rsidP="00E84F8F">
                      <w:pPr>
                        <w:pStyle w:val="ListParagraph"/>
                        <w:numPr>
                          <w:ilvl w:val="0"/>
                          <w:numId w:val="22"/>
                        </w:numPr>
                        <w:spacing w:after="160" w:line="259" w:lineRule="auto"/>
                        <w:rPr>
                          <w:rFonts w:cstheme="minorHAnsi"/>
                        </w:rPr>
                      </w:pPr>
                      <w:r w:rsidRPr="00693E40">
                        <w:t xml:space="preserve">A more detailed description of the wildfire risk reduction pilot is available in the wildfire risk section of the </w:t>
                      </w:r>
                      <w:hyperlink r:id="rId24" w:history="1">
                        <w:r w:rsidRPr="00693E40">
                          <w:rPr>
                            <w:rStyle w:val="Hyperlink"/>
                          </w:rPr>
                          <w:t>full 10-year report</w:t>
                        </w:r>
                      </w:hyperlink>
                      <w:r w:rsidRPr="00693E40">
                        <w:t xml:space="preserve">.  For further information on </w:t>
                      </w:r>
                      <w:r w:rsidRPr="00693E40">
                        <w:rPr>
                          <w:rFonts w:cstheme="minorHAnsi"/>
                          <w:color w:val="000000" w:themeColor="text1"/>
                        </w:rPr>
                        <w:t xml:space="preserve">Risk and Cost Analysis Toolkit </w:t>
                      </w:r>
                      <w:r>
                        <w:rPr>
                          <w:rFonts w:cstheme="minorHAnsi"/>
                          <w:color w:val="000000" w:themeColor="text1"/>
                        </w:rPr>
                        <w:t xml:space="preserve">visit the </w:t>
                      </w:r>
                      <w:hyperlink r:id="rId25" w:history="1">
                        <w:r w:rsidRPr="00693E40">
                          <w:rPr>
                            <w:rStyle w:val="Hyperlink"/>
                            <w:rFonts w:cstheme="minorHAnsi"/>
                          </w:rPr>
                          <w:t>Reporting section</w:t>
                        </w:r>
                      </w:hyperlink>
                      <w:r>
                        <w:rPr>
                          <w:rFonts w:cstheme="minorHAnsi"/>
                          <w:color w:val="000000" w:themeColor="text1"/>
                        </w:rPr>
                        <w:t xml:space="preserve"> of the CFLRP website</w:t>
                      </w:r>
                      <w:r w:rsidRPr="00693E40">
                        <w:rPr>
                          <w:rFonts w:cstheme="minorHAnsi"/>
                          <w:color w:val="4472C4" w:themeColor="accent1"/>
                        </w:rPr>
                        <w:t>.</w:t>
                      </w:r>
                    </w:p>
                    <w:p w14:paraId="26021329" w14:textId="17A5530B" w:rsidR="00E84F8F" w:rsidRPr="00693E40" w:rsidRDefault="00E84F8F" w:rsidP="00E84F8F">
                      <w:pPr>
                        <w:pStyle w:val="ListParagraph"/>
                        <w:numPr>
                          <w:ilvl w:val="0"/>
                          <w:numId w:val="22"/>
                        </w:numPr>
                        <w:rPr>
                          <w:rFonts w:cstheme="minorHAnsi"/>
                        </w:rPr>
                      </w:pPr>
                      <w:r>
                        <w:rPr>
                          <w:rFonts w:cstheme="minorHAnsi"/>
                        </w:rPr>
                        <w:t>I</w:t>
                      </w:r>
                      <w:r w:rsidRPr="00693E40">
                        <w:rPr>
                          <w:rFonts w:cstheme="minorHAnsi"/>
                        </w:rPr>
                        <w:t xml:space="preserve">mpacts, approaches to expanding the use of prescribed fire, and successes and challenges in the using wildfire for resource benefit are </w:t>
                      </w:r>
                      <w:hyperlink r:id="rId26" w:history="1">
                        <w:r w:rsidRPr="00693E40">
                          <w:rPr>
                            <w:rStyle w:val="Hyperlink"/>
                            <w:rFonts w:cstheme="minorHAnsi"/>
                          </w:rPr>
                          <w:t>available in the wildfire risk section of the full 10-year report</w:t>
                        </w:r>
                      </w:hyperlink>
                      <w:r w:rsidRPr="00693E40">
                        <w:rPr>
                          <w:rFonts w:cstheme="minorHAnsi"/>
                        </w:rPr>
                        <w:t>.</w:t>
                      </w:r>
                    </w:p>
                    <w:p w14:paraId="42DE745C" w14:textId="77777777" w:rsidR="00771DC0" w:rsidRPr="0002672C" w:rsidRDefault="00771DC0" w:rsidP="00771DC0">
                      <w:pPr>
                        <w:pStyle w:val="NoSpacing"/>
                        <w:ind w:left="720"/>
                      </w:pPr>
                    </w:p>
                  </w:txbxContent>
                </v:textbox>
                <w10:anchorlock/>
              </v:shape>
            </w:pict>
          </mc:Fallback>
        </mc:AlternateContent>
      </w:r>
    </w:p>
    <w:p w14:paraId="7009E445" w14:textId="77777777" w:rsidR="00771DC0" w:rsidRDefault="00771DC0" w:rsidP="00771DC0">
      <w:pPr>
        <w:pStyle w:val="NoSpacing"/>
      </w:pPr>
      <w:bookmarkStart w:id="9" w:name="_Next_Steps:"/>
      <w:bookmarkStart w:id="10" w:name="_Toc48740495"/>
      <w:bookmarkEnd w:id="3"/>
      <w:bookmarkEnd w:id="9"/>
    </w:p>
    <w:p w14:paraId="46870D13" w14:textId="77777777" w:rsidR="00771DC0" w:rsidRDefault="00771DC0" w:rsidP="00771DC0">
      <w:pPr>
        <w:pStyle w:val="Heading2"/>
        <w:rPr>
          <w:b/>
          <w:bCs/>
        </w:rPr>
      </w:pPr>
      <w:r w:rsidRPr="00647303">
        <w:rPr>
          <w:b/>
          <w:bCs/>
        </w:rPr>
        <w:t>Next Steps:</w:t>
      </w:r>
      <w:bookmarkEnd w:id="10"/>
    </w:p>
    <w:bookmarkEnd w:id="4"/>
    <w:p w14:paraId="4FA637B3" w14:textId="2B81F005" w:rsidR="00771DC0" w:rsidRPr="00E84F8F" w:rsidRDefault="00E84F8F" w:rsidP="00771DC0">
      <w:pPr>
        <w:rPr>
          <w:rFonts w:cstheme="minorHAnsi"/>
          <w:color w:val="000000" w:themeColor="text1"/>
          <w:sz w:val="24"/>
          <w:szCs w:val="24"/>
        </w:rPr>
      </w:pPr>
      <w:r w:rsidRPr="003900AD">
        <w:rPr>
          <w:rFonts w:cstheme="minorHAnsi"/>
          <w:color w:val="000000" w:themeColor="text1"/>
          <w:sz w:val="24"/>
          <w:szCs w:val="24"/>
        </w:rPr>
        <w:t>CFLRP results illustrate the benefit of multi-year, multi-partner, landscape-scale investments to make meaningful progress in reducing wildfire risk.  Community participation and engagement, supported by multi-party monitoring, have been key factors for success in this work.</w:t>
      </w:r>
      <w:r>
        <w:rPr>
          <w:rFonts w:cstheme="minorHAnsi"/>
          <w:color w:val="000000" w:themeColor="text1"/>
          <w:sz w:val="24"/>
          <w:szCs w:val="24"/>
        </w:rPr>
        <w:t xml:space="preserve"> While projects expanded the scale of treatments, most reported a need to further expand the footprint of their work.  </w:t>
      </w:r>
      <w:r>
        <w:rPr>
          <w:sz w:val="24"/>
          <w:szCs w:val="24"/>
        </w:rPr>
        <w:t xml:space="preserve">Promising approaches </w:t>
      </w:r>
      <w:r w:rsidRPr="003900AD">
        <w:rPr>
          <w:sz w:val="24"/>
          <w:szCs w:val="24"/>
        </w:rPr>
        <w:t xml:space="preserve">include better use and implementation of strategic placement of treatments, coupled with appropriate management of wildland fire for resource benefit. </w:t>
      </w:r>
      <w:r w:rsidRPr="003900AD">
        <w:rPr>
          <w:rFonts w:cstheme="minorHAnsi"/>
          <w:sz w:val="24"/>
          <w:szCs w:val="24"/>
        </w:rPr>
        <w:t>More work is also needed to have common standards for quantifying reductions in wildfire risk at landscape scales.</w:t>
      </w:r>
    </w:p>
    <w:sectPr w:rsidR="00771DC0" w:rsidRPr="00E84F8F" w:rsidSect="00647303">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A3494" w14:textId="77777777" w:rsidR="00AA4940" w:rsidRDefault="00AA4940" w:rsidP="00BB0C7E">
      <w:pPr>
        <w:spacing w:after="0"/>
      </w:pPr>
      <w:r>
        <w:separator/>
      </w:r>
    </w:p>
  </w:endnote>
  <w:endnote w:type="continuationSeparator" w:id="0">
    <w:p w14:paraId="29CDDE0D" w14:textId="77777777" w:rsidR="00AA4940" w:rsidRDefault="00AA4940" w:rsidP="00BB0C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6641" w14:textId="77777777" w:rsidR="00E72E30" w:rsidRDefault="00E7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0081A" w14:textId="77777777" w:rsidR="00AA4940" w:rsidRDefault="00AA4940" w:rsidP="00BB0C7E">
      <w:pPr>
        <w:spacing w:after="0"/>
      </w:pPr>
      <w:r>
        <w:separator/>
      </w:r>
    </w:p>
  </w:footnote>
  <w:footnote w:type="continuationSeparator" w:id="0">
    <w:p w14:paraId="05648F65" w14:textId="77777777" w:rsidR="00AA4940" w:rsidRDefault="00AA4940" w:rsidP="00BB0C7E">
      <w:pPr>
        <w:spacing w:after="0"/>
      </w:pPr>
      <w:r>
        <w:continuationSeparator/>
      </w:r>
    </w:p>
  </w:footnote>
  <w:footnote w:id="1">
    <w:p w14:paraId="772E3FBD" w14:textId="77777777" w:rsidR="00E84F8F" w:rsidRDefault="00E84F8F" w:rsidP="00E84F8F">
      <w:pPr>
        <w:pStyle w:val="FootnoteText"/>
      </w:pPr>
      <w:r>
        <w:rPr>
          <w:rStyle w:val="FootnoteReference"/>
        </w:rPr>
        <w:footnoteRef/>
      </w:r>
      <w:r>
        <w:t xml:space="preserve"> “Strategies for Success Under Forest Service Restoration Authorities” </w:t>
      </w:r>
      <w:hyperlink r:id="rId1" w:history="1">
        <w:r w:rsidRPr="00E84690">
          <w:rPr>
            <w:rStyle w:val="Hyperlink"/>
          </w:rPr>
          <w:t>https://ewp.uoregon.edu/sites/ewp.uoregon.edu/files/WP_81.pdf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6B3"/>
    <w:multiLevelType w:val="hybridMultilevel"/>
    <w:tmpl w:val="AE3CDD5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E7E3780"/>
    <w:multiLevelType w:val="hybridMultilevel"/>
    <w:tmpl w:val="ACEA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19CB"/>
    <w:multiLevelType w:val="hybridMultilevel"/>
    <w:tmpl w:val="51F22F82"/>
    <w:lvl w:ilvl="0" w:tplc="8F9E0B96">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B3D97"/>
    <w:multiLevelType w:val="hybridMultilevel"/>
    <w:tmpl w:val="338C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11BFB"/>
    <w:multiLevelType w:val="hybridMultilevel"/>
    <w:tmpl w:val="F36E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31E1A"/>
    <w:multiLevelType w:val="hybridMultilevel"/>
    <w:tmpl w:val="0638D6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7281C06"/>
    <w:multiLevelType w:val="hybridMultilevel"/>
    <w:tmpl w:val="0698581C"/>
    <w:lvl w:ilvl="0" w:tplc="719CEE2E">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F5AB2"/>
    <w:multiLevelType w:val="hybridMultilevel"/>
    <w:tmpl w:val="72D00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E37A62"/>
    <w:multiLevelType w:val="hybridMultilevel"/>
    <w:tmpl w:val="154EB3EC"/>
    <w:lvl w:ilvl="0" w:tplc="6D6C2844">
      <w:start w:val="2"/>
      <w:numFmt w:val="bullet"/>
      <w:lvlText w:val="-"/>
      <w:lvlJc w:val="left"/>
      <w:pPr>
        <w:ind w:left="720" w:hanging="360"/>
      </w:pPr>
      <w:rPr>
        <w:rFonts w:ascii="Calibri" w:eastAsiaTheme="minorHAnsi" w:hAnsi="Calibri" w:cs="Calibri"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705AF"/>
    <w:multiLevelType w:val="hybridMultilevel"/>
    <w:tmpl w:val="698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2248A"/>
    <w:multiLevelType w:val="hybridMultilevel"/>
    <w:tmpl w:val="D548B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7664B"/>
    <w:multiLevelType w:val="hybridMultilevel"/>
    <w:tmpl w:val="127EA8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5418E"/>
    <w:multiLevelType w:val="hybridMultilevel"/>
    <w:tmpl w:val="719E4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C4DA2"/>
    <w:multiLevelType w:val="hybridMultilevel"/>
    <w:tmpl w:val="08B42D44"/>
    <w:lvl w:ilvl="0" w:tplc="1BD636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8099A"/>
    <w:multiLevelType w:val="hybridMultilevel"/>
    <w:tmpl w:val="36FC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625F3"/>
    <w:multiLevelType w:val="hybridMultilevel"/>
    <w:tmpl w:val="0CC8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D68D9"/>
    <w:multiLevelType w:val="hybridMultilevel"/>
    <w:tmpl w:val="3C5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E0568"/>
    <w:multiLevelType w:val="hybridMultilevel"/>
    <w:tmpl w:val="03EE2578"/>
    <w:lvl w:ilvl="0" w:tplc="9AF8B7BE">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E1738"/>
    <w:multiLevelType w:val="hybridMultilevel"/>
    <w:tmpl w:val="E26E1C20"/>
    <w:lvl w:ilvl="0" w:tplc="A874F7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C17B8"/>
    <w:multiLevelType w:val="hybridMultilevel"/>
    <w:tmpl w:val="4C7CA4D0"/>
    <w:lvl w:ilvl="0" w:tplc="1BD636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B29A9"/>
    <w:multiLevelType w:val="hybridMultilevel"/>
    <w:tmpl w:val="09BCB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A568B"/>
    <w:multiLevelType w:val="hybridMultilevel"/>
    <w:tmpl w:val="9D0E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16511"/>
    <w:multiLevelType w:val="hybridMultilevel"/>
    <w:tmpl w:val="3046504A"/>
    <w:lvl w:ilvl="0" w:tplc="A874F7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25267"/>
    <w:multiLevelType w:val="hybridMultilevel"/>
    <w:tmpl w:val="EDF8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E6AD2"/>
    <w:multiLevelType w:val="hybridMultilevel"/>
    <w:tmpl w:val="AE0EC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36A41"/>
    <w:multiLevelType w:val="hybridMultilevel"/>
    <w:tmpl w:val="0C0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91447"/>
    <w:multiLevelType w:val="hybridMultilevel"/>
    <w:tmpl w:val="3EB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54F82"/>
    <w:multiLevelType w:val="hybridMultilevel"/>
    <w:tmpl w:val="092AD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35BE3"/>
    <w:multiLevelType w:val="hybridMultilevel"/>
    <w:tmpl w:val="B5BA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02F8B"/>
    <w:multiLevelType w:val="hybridMultilevel"/>
    <w:tmpl w:val="D66ED99E"/>
    <w:lvl w:ilvl="0" w:tplc="1BD636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3"/>
  </w:num>
  <w:num w:numId="4">
    <w:abstractNumId w:val="12"/>
  </w:num>
  <w:num w:numId="5">
    <w:abstractNumId w:val="0"/>
  </w:num>
  <w:num w:numId="6">
    <w:abstractNumId w:val="4"/>
  </w:num>
  <w:num w:numId="7">
    <w:abstractNumId w:val="24"/>
  </w:num>
  <w:num w:numId="8">
    <w:abstractNumId w:val="21"/>
  </w:num>
  <w:num w:numId="9">
    <w:abstractNumId w:val="9"/>
  </w:num>
  <w:num w:numId="10">
    <w:abstractNumId w:val="20"/>
  </w:num>
  <w:num w:numId="11">
    <w:abstractNumId w:val="5"/>
  </w:num>
  <w:num w:numId="12">
    <w:abstractNumId w:val="28"/>
  </w:num>
  <w:num w:numId="13">
    <w:abstractNumId w:val="1"/>
  </w:num>
  <w:num w:numId="14">
    <w:abstractNumId w:val="15"/>
  </w:num>
  <w:num w:numId="15">
    <w:abstractNumId w:val="27"/>
  </w:num>
  <w:num w:numId="16">
    <w:abstractNumId w:val="25"/>
  </w:num>
  <w:num w:numId="17">
    <w:abstractNumId w:val="16"/>
  </w:num>
  <w:num w:numId="18">
    <w:abstractNumId w:val="11"/>
  </w:num>
  <w:num w:numId="19">
    <w:abstractNumId w:val="14"/>
  </w:num>
  <w:num w:numId="20">
    <w:abstractNumId w:val="2"/>
  </w:num>
  <w:num w:numId="21">
    <w:abstractNumId w:val="8"/>
  </w:num>
  <w:num w:numId="22">
    <w:abstractNumId w:val="17"/>
  </w:num>
  <w:num w:numId="23">
    <w:abstractNumId w:val="6"/>
  </w:num>
  <w:num w:numId="24">
    <w:abstractNumId w:val="29"/>
  </w:num>
  <w:num w:numId="25">
    <w:abstractNumId w:val="13"/>
  </w:num>
  <w:num w:numId="26">
    <w:abstractNumId w:val="18"/>
  </w:num>
  <w:num w:numId="27">
    <w:abstractNumId w:val="22"/>
  </w:num>
  <w:num w:numId="28">
    <w:abstractNumId w:val="19"/>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48"/>
    <w:rsid w:val="000120AD"/>
    <w:rsid w:val="0002246D"/>
    <w:rsid w:val="00041F67"/>
    <w:rsid w:val="0005524C"/>
    <w:rsid w:val="0007617C"/>
    <w:rsid w:val="00096ED9"/>
    <w:rsid w:val="000B27E7"/>
    <w:rsid w:val="00102FD4"/>
    <w:rsid w:val="001277CD"/>
    <w:rsid w:val="00213E07"/>
    <w:rsid w:val="00254A6D"/>
    <w:rsid w:val="00262550"/>
    <w:rsid w:val="00290428"/>
    <w:rsid w:val="00291377"/>
    <w:rsid w:val="00295FFC"/>
    <w:rsid w:val="002978A4"/>
    <w:rsid w:val="002A3471"/>
    <w:rsid w:val="002B24E9"/>
    <w:rsid w:val="002C38B3"/>
    <w:rsid w:val="002C6CAE"/>
    <w:rsid w:val="00312577"/>
    <w:rsid w:val="003B4A7F"/>
    <w:rsid w:val="00420755"/>
    <w:rsid w:val="00483AC1"/>
    <w:rsid w:val="004B4D35"/>
    <w:rsid w:val="004E12A4"/>
    <w:rsid w:val="005944CC"/>
    <w:rsid w:val="00597B34"/>
    <w:rsid w:val="00620389"/>
    <w:rsid w:val="00647303"/>
    <w:rsid w:val="007179D5"/>
    <w:rsid w:val="00771DC0"/>
    <w:rsid w:val="00777955"/>
    <w:rsid w:val="007C624D"/>
    <w:rsid w:val="007F1439"/>
    <w:rsid w:val="0087127B"/>
    <w:rsid w:val="00917605"/>
    <w:rsid w:val="009D5B1F"/>
    <w:rsid w:val="009E583A"/>
    <w:rsid w:val="00A17688"/>
    <w:rsid w:val="00A630BB"/>
    <w:rsid w:val="00A651A1"/>
    <w:rsid w:val="00AA4940"/>
    <w:rsid w:val="00B3262C"/>
    <w:rsid w:val="00B82135"/>
    <w:rsid w:val="00B84E50"/>
    <w:rsid w:val="00B85203"/>
    <w:rsid w:val="00BB0C7E"/>
    <w:rsid w:val="00BB57FB"/>
    <w:rsid w:val="00BC7279"/>
    <w:rsid w:val="00C1305C"/>
    <w:rsid w:val="00C67AF9"/>
    <w:rsid w:val="00C9521D"/>
    <w:rsid w:val="00CC796A"/>
    <w:rsid w:val="00D40FA5"/>
    <w:rsid w:val="00D855E9"/>
    <w:rsid w:val="00DE26D3"/>
    <w:rsid w:val="00E72E30"/>
    <w:rsid w:val="00E84F8F"/>
    <w:rsid w:val="00EF4891"/>
    <w:rsid w:val="00F06D48"/>
    <w:rsid w:val="00F12042"/>
    <w:rsid w:val="00F840CD"/>
    <w:rsid w:val="00FD50E5"/>
    <w:rsid w:val="00FE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FBAF"/>
  <w15:chartTrackingRefBased/>
  <w15:docId w15:val="{8DE7020B-B263-4086-AF3B-C9352500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83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79D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34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D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D35"/>
    <w:rPr>
      <w:rFonts w:ascii="Segoe UI" w:hAnsi="Segoe UI" w:cs="Segoe UI"/>
      <w:sz w:val="18"/>
      <w:szCs w:val="18"/>
    </w:rPr>
  </w:style>
  <w:style w:type="paragraph" w:styleId="ListParagraph">
    <w:name w:val="List Paragraph"/>
    <w:aliases w:val="Bullet Paragraphs"/>
    <w:basedOn w:val="Normal"/>
    <w:link w:val="ListParagraphChar"/>
    <w:uiPriority w:val="34"/>
    <w:qFormat/>
    <w:rsid w:val="00B85203"/>
    <w:pPr>
      <w:spacing w:after="0"/>
      <w:ind w:left="720"/>
      <w:contextualSpacing/>
    </w:pPr>
  </w:style>
  <w:style w:type="character" w:customStyle="1" w:styleId="ListParagraphChar">
    <w:name w:val="List Paragraph Char"/>
    <w:aliases w:val="Bullet Paragraphs Char"/>
    <w:basedOn w:val="DefaultParagraphFont"/>
    <w:link w:val="ListParagraph"/>
    <w:uiPriority w:val="34"/>
    <w:locked/>
    <w:rsid w:val="00B85203"/>
  </w:style>
  <w:style w:type="character" w:styleId="Hyperlink">
    <w:name w:val="Hyperlink"/>
    <w:basedOn w:val="DefaultParagraphFont"/>
    <w:uiPriority w:val="99"/>
    <w:unhideWhenUsed/>
    <w:rsid w:val="00BB0C7E"/>
    <w:rPr>
      <w:color w:val="0563C1"/>
      <w:u w:val="single"/>
    </w:rPr>
  </w:style>
  <w:style w:type="paragraph" w:styleId="FootnoteText">
    <w:name w:val="footnote text"/>
    <w:basedOn w:val="Normal"/>
    <w:link w:val="FootnoteTextChar"/>
    <w:uiPriority w:val="99"/>
    <w:unhideWhenUsed/>
    <w:rsid w:val="00BB0C7E"/>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B0C7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B0C7E"/>
    <w:rPr>
      <w:vertAlign w:val="superscript"/>
    </w:rPr>
  </w:style>
  <w:style w:type="character" w:customStyle="1" w:styleId="field-content">
    <w:name w:val="field-content"/>
    <w:basedOn w:val="DefaultParagraphFont"/>
    <w:rsid w:val="00BB0C7E"/>
  </w:style>
  <w:style w:type="character" w:styleId="UnresolvedMention">
    <w:name w:val="Unresolved Mention"/>
    <w:basedOn w:val="DefaultParagraphFont"/>
    <w:uiPriority w:val="99"/>
    <w:semiHidden/>
    <w:unhideWhenUsed/>
    <w:rsid w:val="009E583A"/>
    <w:rPr>
      <w:color w:val="605E5C"/>
      <w:shd w:val="clear" w:color="auto" w:fill="E1DFDD"/>
    </w:rPr>
  </w:style>
  <w:style w:type="character" w:customStyle="1" w:styleId="Heading1Char">
    <w:name w:val="Heading 1 Char"/>
    <w:basedOn w:val="DefaultParagraphFont"/>
    <w:link w:val="Heading1"/>
    <w:uiPriority w:val="9"/>
    <w:rsid w:val="009E583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277CD"/>
    <w:rPr>
      <w:sz w:val="16"/>
      <w:szCs w:val="16"/>
    </w:rPr>
  </w:style>
  <w:style w:type="paragraph" w:styleId="CommentText">
    <w:name w:val="annotation text"/>
    <w:basedOn w:val="Normal"/>
    <w:link w:val="CommentTextChar"/>
    <w:uiPriority w:val="99"/>
    <w:unhideWhenUsed/>
    <w:rsid w:val="001277CD"/>
    <w:pPr>
      <w:spacing w:after="0"/>
    </w:pPr>
    <w:rPr>
      <w:sz w:val="20"/>
      <w:szCs w:val="20"/>
    </w:rPr>
  </w:style>
  <w:style w:type="character" w:customStyle="1" w:styleId="CommentTextChar">
    <w:name w:val="Comment Text Char"/>
    <w:basedOn w:val="DefaultParagraphFont"/>
    <w:link w:val="CommentText"/>
    <w:uiPriority w:val="99"/>
    <w:rsid w:val="001277CD"/>
    <w:rPr>
      <w:sz w:val="20"/>
      <w:szCs w:val="20"/>
    </w:rPr>
  </w:style>
  <w:style w:type="character" w:customStyle="1" w:styleId="Heading2Char">
    <w:name w:val="Heading 2 Char"/>
    <w:basedOn w:val="DefaultParagraphFont"/>
    <w:link w:val="Heading2"/>
    <w:uiPriority w:val="9"/>
    <w:rsid w:val="007179D5"/>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7179D5"/>
    <w:pPr>
      <w:spacing w:after="0"/>
    </w:pPr>
  </w:style>
  <w:style w:type="character" w:customStyle="1" w:styleId="NoSpacingChar">
    <w:name w:val="No Spacing Char"/>
    <w:basedOn w:val="DefaultParagraphFont"/>
    <w:link w:val="NoSpacing"/>
    <w:uiPriority w:val="1"/>
    <w:rsid w:val="007179D5"/>
  </w:style>
  <w:style w:type="character" w:customStyle="1" w:styleId="Heading3Char">
    <w:name w:val="Heading 3 Char"/>
    <w:basedOn w:val="DefaultParagraphFont"/>
    <w:link w:val="Heading3"/>
    <w:uiPriority w:val="9"/>
    <w:rsid w:val="002A3471"/>
    <w:rPr>
      <w:rFonts w:asciiTheme="majorHAnsi" w:eastAsiaTheme="majorEastAsia" w:hAnsiTheme="majorHAnsi" w:cstheme="majorBidi"/>
      <w:color w:val="1F3763" w:themeColor="accent1" w:themeShade="7F"/>
      <w:sz w:val="24"/>
      <w:szCs w:val="24"/>
    </w:rPr>
  </w:style>
  <w:style w:type="paragraph" w:customStyle="1" w:styleId="EndnoteText1">
    <w:name w:val="Endnote Text1"/>
    <w:basedOn w:val="Normal"/>
    <w:next w:val="EndnoteText"/>
    <w:link w:val="EndnoteTextChar"/>
    <w:uiPriority w:val="99"/>
    <w:semiHidden/>
    <w:unhideWhenUsed/>
    <w:rsid w:val="002A3471"/>
    <w:pPr>
      <w:spacing w:after="0"/>
    </w:pPr>
    <w:rPr>
      <w:sz w:val="20"/>
      <w:szCs w:val="20"/>
    </w:rPr>
  </w:style>
  <w:style w:type="character" w:customStyle="1" w:styleId="EndnoteTextChar">
    <w:name w:val="Endnote Text Char"/>
    <w:basedOn w:val="DefaultParagraphFont"/>
    <w:link w:val="EndnoteText1"/>
    <w:uiPriority w:val="99"/>
    <w:semiHidden/>
    <w:rsid w:val="002A3471"/>
    <w:rPr>
      <w:sz w:val="20"/>
      <w:szCs w:val="20"/>
    </w:rPr>
  </w:style>
  <w:style w:type="paragraph" w:styleId="EndnoteText">
    <w:name w:val="endnote text"/>
    <w:basedOn w:val="Normal"/>
    <w:link w:val="EndnoteTextChar1"/>
    <w:uiPriority w:val="99"/>
    <w:semiHidden/>
    <w:unhideWhenUsed/>
    <w:rsid w:val="002A3471"/>
    <w:pPr>
      <w:spacing w:after="0"/>
    </w:pPr>
    <w:rPr>
      <w:sz w:val="20"/>
      <w:szCs w:val="20"/>
    </w:rPr>
  </w:style>
  <w:style w:type="character" w:customStyle="1" w:styleId="EndnoteTextChar1">
    <w:name w:val="Endnote Text Char1"/>
    <w:basedOn w:val="DefaultParagraphFont"/>
    <w:link w:val="EndnoteText"/>
    <w:uiPriority w:val="99"/>
    <w:semiHidden/>
    <w:rsid w:val="002A3471"/>
    <w:rPr>
      <w:sz w:val="20"/>
      <w:szCs w:val="20"/>
    </w:rPr>
  </w:style>
  <w:style w:type="paragraph" w:styleId="CommentSubject">
    <w:name w:val="annotation subject"/>
    <w:basedOn w:val="CommentText"/>
    <w:next w:val="CommentText"/>
    <w:link w:val="CommentSubjectChar"/>
    <w:uiPriority w:val="99"/>
    <w:semiHidden/>
    <w:unhideWhenUsed/>
    <w:rsid w:val="00BC7279"/>
    <w:pPr>
      <w:spacing w:after="80"/>
    </w:pPr>
    <w:rPr>
      <w:b/>
      <w:bCs/>
    </w:rPr>
  </w:style>
  <w:style w:type="character" w:customStyle="1" w:styleId="CommentSubjectChar">
    <w:name w:val="Comment Subject Char"/>
    <w:basedOn w:val="CommentTextChar"/>
    <w:link w:val="CommentSubject"/>
    <w:uiPriority w:val="99"/>
    <w:semiHidden/>
    <w:rsid w:val="00BC7279"/>
    <w:rPr>
      <w:b/>
      <w:bCs/>
      <w:sz w:val="20"/>
      <w:szCs w:val="20"/>
    </w:rPr>
  </w:style>
  <w:style w:type="paragraph" w:styleId="Caption">
    <w:name w:val="caption"/>
    <w:basedOn w:val="Normal"/>
    <w:next w:val="Normal"/>
    <w:uiPriority w:val="35"/>
    <w:unhideWhenUsed/>
    <w:qFormat/>
    <w:rsid w:val="00BC7279"/>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DE26D3"/>
    <w:rPr>
      <w:color w:val="954F72" w:themeColor="followedHyperlink"/>
      <w:u w:val="single"/>
    </w:rPr>
  </w:style>
  <w:style w:type="paragraph" w:styleId="Subtitle">
    <w:name w:val="Subtitle"/>
    <w:basedOn w:val="Normal"/>
    <w:next w:val="Normal"/>
    <w:link w:val="SubtitleChar"/>
    <w:uiPriority w:val="11"/>
    <w:qFormat/>
    <w:rsid w:val="00483AC1"/>
    <w:pPr>
      <w:numPr>
        <w:ilvl w:val="1"/>
      </w:numPr>
      <w:spacing w:after="160" w:line="259" w:lineRule="auto"/>
      <w:ind w:left="720"/>
    </w:pPr>
    <w:rPr>
      <w:rFonts w:eastAsiaTheme="minorEastAsia"/>
      <w:color w:val="F2F2F2" w:themeColor="background1" w:themeShade="F2"/>
      <w:spacing w:val="15"/>
      <w:sz w:val="48"/>
    </w:rPr>
  </w:style>
  <w:style w:type="character" w:customStyle="1" w:styleId="SubtitleChar">
    <w:name w:val="Subtitle Char"/>
    <w:basedOn w:val="DefaultParagraphFont"/>
    <w:link w:val="Subtitle"/>
    <w:uiPriority w:val="11"/>
    <w:rsid w:val="00483AC1"/>
    <w:rPr>
      <w:rFonts w:eastAsiaTheme="minorEastAsia"/>
      <w:color w:val="F2F2F2" w:themeColor="background1" w:themeShade="F2"/>
      <w:spacing w:val="15"/>
      <w:sz w:val="48"/>
    </w:rPr>
  </w:style>
  <w:style w:type="paragraph" w:styleId="Header">
    <w:name w:val="header"/>
    <w:basedOn w:val="Normal"/>
    <w:link w:val="HeaderChar"/>
    <w:uiPriority w:val="99"/>
    <w:unhideWhenUsed/>
    <w:rsid w:val="00E72E30"/>
    <w:pPr>
      <w:tabs>
        <w:tab w:val="center" w:pos="4680"/>
        <w:tab w:val="right" w:pos="9360"/>
      </w:tabs>
      <w:spacing w:after="0"/>
    </w:pPr>
  </w:style>
  <w:style w:type="character" w:customStyle="1" w:styleId="HeaderChar">
    <w:name w:val="Header Char"/>
    <w:basedOn w:val="DefaultParagraphFont"/>
    <w:link w:val="Header"/>
    <w:uiPriority w:val="99"/>
    <w:rsid w:val="00E72E30"/>
  </w:style>
  <w:style w:type="paragraph" w:styleId="Footer">
    <w:name w:val="footer"/>
    <w:basedOn w:val="Normal"/>
    <w:link w:val="FooterChar"/>
    <w:uiPriority w:val="99"/>
    <w:unhideWhenUsed/>
    <w:rsid w:val="00E72E30"/>
    <w:pPr>
      <w:tabs>
        <w:tab w:val="center" w:pos="4680"/>
        <w:tab w:val="right" w:pos="9360"/>
      </w:tabs>
      <w:spacing w:after="0"/>
    </w:pPr>
  </w:style>
  <w:style w:type="character" w:customStyle="1" w:styleId="FooterChar">
    <w:name w:val="Footer Char"/>
    <w:basedOn w:val="DefaultParagraphFont"/>
    <w:link w:val="Footer"/>
    <w:uiPriority w:val="99"/>
    <w:rsid w:val="00E7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ervationgateway.org/ConservationPractices/FireLandscapes/HabitatProtectionandRestoration/Training/TrainingExchanges/Pages/TREX-fact-sheet.aspx" TargetMode="External"/><Relationship Id="rId18" Type="http://schemas.openxmlformats.org/officeDocument/2006/relationships/hyperlink" Target="https://www.fs.fed.us/restoration/CFLRP/results.shtml" TargetMode="External"/><Relationship Id="rId26" Type="http://schemas.openxmlformats.org/officeDocument/2006/relationships/hyperlink" Target="https://www.fs.fed.us/restoration/documents/cflrp/CFLRP_LessonsLearnedCompiled20201016.pdf" TargetMode="External"/><Relationship Id="rId3" Type="http://schemas.openxmlformats.org/officeDocument/2006/relationships/styles" Target="styles.xml"/><Relationship Id="rId21" Type="http://schemas.openxmlformats.org/officeDocument/2006/relationships/hyperlink" Target="https://www.fs.fed.us/restoration/documents/cflrp/CFLRP_LessonsLearnedCompiled20201016.pdf" TargetMode="External"/><Relationship Id="rId7" Type="http://schemas.openxmlformats.org/officeDocument/2006/relationships/endnotes" Target="endnotes.xml"/><Relationship Id="rId12" Type="http://schemas.openxmlformats.org/officeDocument/2006/relationships/hyperlink" Target="https://www.fs.fed.us/restoration/CFLRP/results.shtml" TargetMode="External"/><Relationship Id="rId17" Type="http://schemas.openxmlformats.org/officeDocument/2006/relationships/hyperlink" Target="https://www.fs.fed.us/restoration/CFLRP/results.shtml" TargetMode="External"/><Relationship Id="rId25" Type="http://schemas.openxmlformats.org/officeDocument/2006/relationships/hyperlink" Target="https://www.fs.fed.us/restoration/CFLRP/guidance.shtml" TargetMode="External"/><Relationship Id="rId2" Type="http://schemas.openxmlformats.org/officeDocument/2006/relationships/numbering" Target="numbering.xml"/><Relationship Id="rId16" Type="http://schemas.openxmlformats.org/officeDocument/2006/relationships/hyperlink" Target="https://www.fs.fed.us/restoration/documents/cflrp/CFLRP_LessonsLearnedCompiled20201016.pdf" TargetMode="External"/><Relationship Id="rId20" Type="http://schemas.openxmlformats.org/officeDocument/2006/relationships/hyperlink" Target="https://www.fs.fed.us/restoration/CFLRP/guidanc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fed.us/restoration/CFLRP/results.shtml" TargetMode="External"/><Relationship Id="rId24" Type="http://schemas.openxmlformats.org/officeDocument/2006/relationships/hyperlink" Target="https://www.fs.fed.us/restoration/documents/cflrp/CFLRP_LessonsLearnedCompiled20201016.pdf" TargetMode="External"/><Relationship Id="rId5" Type="http://schemas.openxmlformats.org/officeDocument/2006/relationships/webSettings" Target="webSettings.xml"/><Relationship Id="rId15" Type="http://schemas.openxmlformats.org/officeDocument/2006/relationships/hyperlink" Target="https://www.fs.fed.us/restoration/documents/cflrp/CFLRP_LessonsLearnedCompiled20201016.pdf" TargetMode="External"/><Relationship Id="rId23" Type="http://schemas.openxmlformats.org/officeDocument/2006/relationships/hyperlink" Target="https://www.fs.fed.us/restoration/CFLRP/results.shtml" TargetMode="External"/><Relationship Id="rId28" Type="http://schemas.openxmlformats.org/officeDocument/2006/relationships/fontTable" Target="fontTable.xml"/><Relationship Id="rId10" Type="http://schemas.openxmlformats.org/officeDocument/2006/relationships/hyperlink" Target="https://www.fs.fed.us/restoration/documents/cflrp/CFLRP_LessonsLearnedCompiled20201016.pdf" TargetMode="External"/><Relationship Id="rId19" Type="http://schemas.openxmlformats.org/officeDocument/2006/relationships/hyperlink" Target="https://www.fs.fed.us/restoration/documents/cflrp/CFLRP_LessonsLearnedCompiled20201016.pdf" TargetMode="External"/><Relationship Id="rId4" Type="http://schemas.openxmlformats.org/officeDocument/2006/relationships/settings" Target="settings.xml"/><Relationship Id="rId9" Type="http://schemas.openxmlformats.org/officeDocument/2006/relationships/hyperlink" Target="https://www.fs.fed.us/restoration/documents/cflrp/CFLRP_LessonsLearnedCompiled20201016.pdf" TargetMode="External"/><Relationship Id="rId14" Type="http://schemas.openxmlformats.org/officeDocument/2006/relationships/hyperlink" Target="https://www.fs.fed.us/restoration/documents/cflrp/CFLRP_LessonsLearnedCompiled20201016.pdf" TargetMode="External"/><Relationship Id="rId22" Type="http://schemas.openxmlformats.org/officeDocument/2006/relationships/hyperlink" Target="https://www.fs.fed.us/restoration/CFLRP/results.shtml"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wp.uoregon.edu/sites/ewp.uoregon.edu/files/WP_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F949-77F1-480C-9FEC-190D12EC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CFLRP 10 Year Results and Lessons Learned Summary Series - Wildfire Risk Reduction</dc:title>
  <dc:subject/>
  <dc:creator>Logan, Brian -FS</dc:creator>
  <cp:keywords/>
  <dc:description/>
  <cp:lastModifiedBy>Bancroft, Kris -FS</cp:lastModifiedBy>
  <cp:revision>2</cp:revision>
  <dcterms:created xsi:type="dcterms:W3CDTF">2020-12-08T15:48:00Z</dcterms:created>
  <dcterms:modified xsi:type="dcterms:W3CDTF">2020-12-08T15:48:00Z</dcterms:modified>
</cp:coreProperties>
</file>