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89" w:rsidRPr="00340335" w:rsidRDefault="00366C89" w:rsidP="00340335">
      <w:pPr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340335">
        <w:rPr>
          <w:rFonts w:asciiTheme="majorHAnsi" w:hAnsiTheme="majorHAnsi"/>
          <w:b/>
          <w:sz w:val="28"/>
          <w:szCs w:val="28"/>
        </w:rPr>
        <w:t xml:space="preserve">Forest Service Checklist for </w:t>
      </w:r>
      <w:r w:rsidR="006176C7">
        <w:rPr>
          <w:rFonts w:asciiTheme="majorHAnsi" w:hAnsiTheme="majorHAnsi"/>
          <w:b/>
          <w:sz w:val="28"/>
          <w:szCs w:val="28"/>
        </w:rPr>
        <w:t xml:space="preserve">Planning </w:t>
      </w:r>
      <w:r w:rsidRPr="00340335">
        <w:rPr>
          <w:rFonts w:asciiTheme="majorHAnsi" w:hAnsiTheme="majorHAnsi"/>
          <w:b/>
          <w:sz w:val="28"/>
          <w:szCs w:val="28"/>
        </w:rPr>
        <w:t>Green Onsite Events</w:t>
      </w:r>
    </w:p>
    <w:p w:rsidR="00F16319" w:rsidRPr="00F16319" w:rsidRDefault="00F16319" w:rsidP="00F16319">
      <w:pPr>
        <w:spacing w:before="60"/>
        <w:jc w:val="left"/>
      </w:pPr>
      <w:r w:rsidRPr="00E92FCB">
        <w:rPr>
          <w:color w:val="000000" w:themeColor="text1"/>
        </w:rPr>
        <w:t>Federal policy</w:t>
      </w:r>
      <w:r>
        <w:rPr>
          <w:color w:val="000000" w:themeColor="text1"/>
        </w:rPr>
        <w:t xml:space="preserve">, including </w:t>
      </w:r>
      <w:hyperlink r:id="rId7" w:history="1">
        <w:r w:rsidRPr="00354E29">
          <w:rPr>
            <w:rStyle w:val="Hyperlink"/>
          </w:rPr>
          <w:t xml:space="preserve">Executive Order 13693, </w:t>
        </w:r>
        <w:r w:rsidRPr="00354E29">
          <w:rPr>
            <w:rStyle w:val="Hyperlink"/>
            <w:i/>
          </w:rPr>
          <w:t>Planning for Federal Sustainability in the Next Decade</w:t>
        </w:r>
      </w:hyperlink>
      <w:r>
        <w:rPr>
          <w:color w:val="000000" w:themeColor="text1"/>
        </w:rPr>
        <w:t>, and Federal Travel Regulations</w:t>
      </w:r>
      <w:r w:rsidRPr="00E92F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encourage </w:t>
      </w:r>
      <w:r w:rsidR="00971319">
        <w:rPr>
          <w:color w:val="000000" w:themeColor="text1"/>
        </w:rPr>
        <w:t>sustainable</w:t>
      </w:r>
      <w:r w:rsidRPr="00E92FCB">
        <w:rPr>
          <w:color w:val="000000" w:themeColor="text1"/>
        </w:rPr>
        <w:t xml:space="preserve"> events. </w:t>
      </w:r>
      <w:r w:rsidRPr="00F16319">
        <w:rPr>
          <w:rFonts w:eastAsia="Times New Roman" w:cs="Times New Roman"/>
        </w:rPr>
        <w:t xml:space="preserve">Forest Service </w:t>
      </w:r>
      <w:r w:rsidR="004B0D16">
        <w:rPr>
          <w:rFonts w:eastAsia="Times New Roman" w:cs="Times New Roman"/>
        </w:rPr>
        <w:t>H</w:t>
      </w:r>
      <w:r>
        <w:rPr>
          <w:rFonts w:eastAsia="Times New Roman" w:cs="Times New Roman"/>
        </w:rPr>
        <w:t>andbook</w:t>
      </w:r>
      <w:r w:rsidRPr="00F16319">
        <w:rPr>
          <w:rFonts w:eastAsia="Times New Roman" w:cs="Times New Roman"/>
        </w:rPr>
        <w:t> </w:t>
      </w:r>
      <w:r>
        <w:rPr>
          <w:rFonts w:eastAsia="Times New Roman" w:cs="Times New Roman"/>
        </w:rPr>
        <w:t>(</w:t>
      </w:r>
      <w:r w:rsidRPr="00354E29">
        <w:t>FSH 6509.33 Chapter 300</w:t>
      </w:r>
      <w:r>
        <w:t xml:space="preserve">) </w:t>
      </w:r>
      <w:r w:rsidR="004B0D16">
        <w:t xml:space="preserve">also </w:t>
      </w:r>
      <w:r>
        <w:t>states,</w:t>
      </w:r>
      <w:r w:rsidRPr="00F16319">
        <w:rPr>
          <w:b/>
        </w:rPr>
        <w:t xml:space="preserve"> </w:t>
      </w:r>
      <w:r w:rsidRPr="002D7E6C">
        <w:t xml:space="preserve">“It is the responsibility of the Forest Service Deputy Chiefs to…Ensure units manage resources in an environmentally positive way, which includes giving preference to virtual events and facilities </w:t>
      </w:r>
      <w:r w:rsidR="00EB60E7">
        <w:t>which</w:t>
      </w:r>
      <w:r w:rsidRPr="002D7E6C">
        <w:t xml:space="preserve"> consume less energy.”</w:t>
      </w:r>
      <w:r>
        <w:t xml:space="preserve"> </w:t>
      </w:r>
    </w:p>
    <w:p w:rsidR="00EB60E7" w:rsidRDefault="005C6C68" w:rsidP="00A61563">
      <w:pPr>
        <w:spacing w:before="120" w:after="120"/>
        <w:jc w:val="left"/>
      </w:pPr>
      <w:r>
        <w:t xml:space="preserve">This </w:t>
      </w:r>
      <w:r w:rsidR="008871D4" w:rsidRPr="00F16319">
        <w:t>checklist guide</w:t>
      </w:r>
      <w:r w:rsidR="001A41B7" w:rsidRPr="00F16319">
        <w:t>s</w:t>
      </w:r>
      <w:r w:rsidR="008871D4" w:rsidRPr="00F16319">
        <w:t xml:space="preserve"> </w:t>
      </w:r>
      <w:r>
        <w:t xml:space="preserve">event </w:t>
      </w:r>
      <w:r w:rsidR="00A61563">
        <w:t>coordinators</w:t>
      </w:r>
      <w:r>
        <w:t xml:space="preserve"> in</w:t>
      </w:r>
      <w:r w:rsidR="008871D4" w:rsidRPr="00F16319">
        <w:t xml:space="preserve"> </w:t>
      </w:r>
      <w:bookmarkStart w:id="0" w:name="_GoBack"/>
      <w:bookmarkEnd w:id="0"/>
      <w:r w:rsidR="004B0D16">
        <w:t xml:space="preserve">reducing the environmental footprint of </w:t>
      </w:r>
      <w:r>
        <w:t>onsite events (</w:t>
      </w:r>
      <w:r w:rsidR="004B0D16">
        <w:t xml:space="preserve">i.e., </w:t>
      </w:r>
      <w:r>
        <w:t xml:space="preserve">all participants are in-person at a single location) by providing </w:t>
      </w:r>
      <w:r w:rsidR="004B0D16">
        <w:t xml:space="preserve">sustainable </w:t>
      </w:r>
      <w:r>
        <w:t xml:space="preserve">actions to consider and related </w:t>
      </w:r>
      <w:r w:rsidR="00FF1AB5">
        <w:t>resources</w:t>
      </w:r>
      <w:r>
        <w:t xml:space="preserve">. </w:t>
      </w:r>
      <w:r w:rsidR="009515BB" w:rsidRPr="00A61563">
        <w:t xml:space="preserve">This </w:t>
      </w:r>
      <w:r w:rsidR="009515BB">
        <w:t>also</w:t>
      </w:r>
      <w:r w:rsidR="009515BB" w:rsidRPr="00A61563">
        <w:t xml:space="preserve"> support</w:t>
      </w:r>
      <w:r w:rsidR="009515BB">
        <w:t xml:space="preserve">s “Getting to YES” on the FS Climate Change Scorecard, </w:t>
      </w:r>
      <w:r w:rsidR="009515BB" w:rsidRPr="00A61563">
        <w:t>Element 10</w:t>
      </w:r>
      <w:r w:rsidR="009515BB">
        <w:t xml:space="preserve"> v2.0, Core Action 5, which </w:t>
      </w:r>
      <w:r w:rsidR="009515BB" w:rsidRPr="00A61563">
        <w:t>asks units to</w:t>
      </w:r>
      <w:r w:rsidR="009515BB">
        <w:t>:</w:t>
      </w:r>
      <w:r w:rsidR="009515BB" w:rsidRPr="00A61563">
        <w:t xml:space="preserve"> “</w:t>
      </w:r>
      <w:r w:rsidR="009515BB">
        <w:t>I</w:t>
      </w:r>
      <w:r w:rsidR="009515BB" w:rsidRPr="00A61563">
        <w:t xml:space="preserve">ncorporate </w:t>
      </w:r>
      <w:r w:rsidR="009515BB">
        <w:t>sustainable</w:t>
      </w:r>
      <w:r w:rsidR="009515BB" w:rsidRPr="00A61563">
        <w:t xml:space="preserve"> practices in</w:t>
      </w:r>
      <w:r w:rsidR="009515BB">
        <w:t>to onsite events and/or replace some onsite events that require travel with hybrid or</w:t>
      </w:r>
      <w:r w:rsidR="009515BB" w:rsidRPr="00A61563">
        <w:t xml:space="preserve"> virtual event</w:t>
      </w:r>
      <w:r w:rsidR="009515BB">
        <w:t xml:space="preserve">s.” </w:t>
      </w:r>
    </w:p>
    <w:p w:rsidR="009515BB" w:rsidRDefault="005C6C68" w:rsidP="00A61563">
      <w:pPr>
        <w:spacing w:before="120" w:after="120"/>
        <w:jc w:val="left"/>
      </w:pPr>
      <w:r>
        <w:t xml:space="preserve">The </w:t>
      </w:r>
      <w:hyperlink r:id="rId8" w:history="1">
        <w:r w:rsidR="003020C6" w:rsidRPr="003020C6">
          <w:rPr>
            <w:rStyle w:val="Hyperlink"/>
            <w:b/>
            <w:i/>
          </w:rPr>
          <w:t>Greening Your Even</w:t>
        </w:r>
        <w:r w:rsidR="003020C6" w:rsidRPr="003020C6">
          <w:rPr>
            <w:rStyle w:val="Hyperlink"/>
            <w:b/>
            <w:i/>
          </w:rPr>
          <w:t>t</w:t>
        </w:r>
        <w:r w:rsidR="003020C6" w:rsidRPr="003020C6">
          <w:rPr>
            <w:rStyle w:val="Hyperlink"/>
            <w:b/>
            <w:i/>
          </w:rPr>
          <w:t xml:space="preserve">s </w:t>
        </w:r>
        <w:r w:rsidR="008E704D">
          <w:rPr>
            <w:rStyle w:val="Hyperlink"/>
            <w:b/>
          </w:rPr>
          <w:t>W</w:t>
        </w:r>
        <w:r w:rsidR="003020C6" w:rsidRPr="003020C6">
          <w:rPr>
            <w:rStyle w:val="Hyperlink"/>
            <w:b/>
          </w:rPr>
          <w:t>eb</w:t>
        </w:r>
        <w:r w:rsidR="008E704D">
          <w:rPr>
            <w:rStyle w:val="Hyperlink"/>
            <w:b/>
          </w:rPr>
          <w:t xml:space="preserve"> </w:t>
        </w:r>
        <w:r w:rsidR="003020C6" w:rsidRPr="003020C6">
          <w:rPr>
            <w:rStyle w:val="Hyperlink"/>
            <w:b/>
          </w:rPr>
          <w:t>site</w:t>
        </w:r>
      </w:hyperlink>
      <w:r w:rsidR="003020C6" w:rsidRPr="003020C6">
        <w:rPr>
          <w:b/>
          <w:i/>
          <w:color w:val="0000CC"/>
        </w:rPr>
        <w:t xml:space="preserve"> </w:t>
      </w:r>
      <w:r>
        <w:t xml:space="preserve">has </w:t>
      </w:r>
      <w:r w:rsidR="00EB60E7">
        <w:t>more</w:t>
      </w:r>
      <w:r>
        <w:t xml:space="preserve"> resources</w:t>
      </w:r>
      <w:r w:rsidR="009310E4">
        <w:t xml:space="preserve"> </w:t>
      </w:r>
      <w:r w:rsidR="00EB60E7">
        <w:t>f</w:t>
      </w:r>
      <w:r w:rsidR="009310E4">
        <w:t>or all event types</w:t>
      </w:r>
      <w:r w:rsidR="00EB60E7">
        <w:t xml:space="preserve"> and</w:t>
      </w:r>
      <w:r>
        <w:t xml:space="preserve"> checklists for </w:t>
      </w:r>
      <w:r w:rsidRPr="003020C6">
        <w:t>virtual</w:t>
      </w:r>
      <w:r>
        <w:t xml:space="preserve"> and </w:t>
      </w:r>
      <w:r w:rsidRPr="003020C6">
        <w:t>hybrid</w:t>
      </w:r>
      <w:r w:rsidR="009515BB">
        <w:t xml:space="preserve"> events.</w:t>
      </w:r>
    </w:p>
    <w:p w:rsidR="00745268" w:rsidRPr="009310E4" w:rsidRDefault="009515BB" w:rsidP="00A61563">
      <w:pPr>
        <w:spacing w:before="120" w:after="120"/>
        <w:jc w:val="left"/>
      </w:pPr>
      <w:r>
        <w:t xml:space="preserve">Fill out the </w:t>
      </w:r>
      <w:hyperlink r:id="rId9" w:history="1">
        <w:r w:rsidRPr="001475B3">
          <w:rPr>
            <w:rStyle w:val="Hyperlink"/>
          </w:rPr>
          <w:t>Green Event Feedback Form</w:t>
        </w:r>
      </w:hyperlink>
      <w:r>
        <w:rPr>
          <w:rStyle w:val="Hyperlink"/>
        </w:rPr>
        <w:t xml:space="preserve"> </w:t>
      </w:r>
      <w:r w:rsidRPr="009311A5">
        <w:t>after your event</w:t>
      </w:r>
      <w:r w:rsidR="004B0D16">
        <w:t>,</w:t>
      </w:r>
      <w:r w:rsidRPr="009311A5">
        <w:t xml:space="preserve"> so we can learn from your efforts</w:t>
      </w:r>
      <w:r>
        <w:t>.</w:t>
      </w:r>
    </w:p>
    <w:tbl>
      <w:tblPr>
        <w:tblStyle w:val="MediumShading1-Accent2"/>
        <w:tblW w:w="10908" w:type="dxa"/>
        <w:tblLook w:val="04A0" w:firstRow="1" w:lastRow="0" w:firstColumn="1" w:lastColumn="0" w:noHBand="0" w:noVBand="1"/>
        <w:tblDescription w:val="Table with actions and resources for planning green onsite events"/>
      </w:tblPr>
      <w:tblGrid>
        <w:gridCol w:w="6786"/>
        <w:gridCol w:w="4122"/>
      </w:tblGrid>
      <w:tr w:rsidR="009310E4" w:rsidTr="00617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9310E4" w:rsidRPr="00314114" w:rsidRDefault="009310E4" w:rsidP="004B0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Actions</w:t>
            </w:r>
            <w:r w:rsidR="005E3CE2">
              <w:rPr>
                <w:sz w:val="28"/>
                <w:szCs w:val="28"/>
              </w:rPr>
              <w:t xml:space="preserve"> for Green Onsite Events</w:t>
            </w:r>
          </w:p>
        </w:tc>
        <w:tc>
          <w:tcPr>
            <w:tcW w:w="4122" w:type="dxa"/>
          </w:tcPr>
          <w:p w:rsidR="009310E4" w:rsidRPr="00314114" w:rsidRDefault="00DB57B8" w:rsidP="00A62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402711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402711" w:rsidRPr="002A049A" w:rsidRDefault="00402711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Develop</w:t>
            </w:r>
            <w:r w:rsidRPr="002A049A">
              <w:rPr>
                <w:b w:val="0"/>
                <w:color w:val="000000"/>
              </w:rPr>
              <w:t xml:space="preserve"> a</w:t>
            </w:r>
            <w:r>
              <w:rPr>
                <w:b w:val="0"/>
              </w:rPr>
              <w:t>n environmental statement for the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>event and include that in event materials</w:t>
            </w:r>
            <w:r w:rsidRPr="002A049A">
              <w:rPr>
                <w:b w:val="0"/>
              </w:rPr>
              <w:t>, so participants are aware of</w:t>
            </w:r>
            <w:r>
              <w:rPr>
                <w:b w:val="0"/>
              </w:rPr>
              <w:t xml:space="preserve"> the green aspects.</w:t>
            </w:r>
          </w:p>
        </w:tc>
        <w:tc>
          <w:tcPr>
            <w:tcW w:w="4122" w:type="dxa"/>
            <w:vAlign w:val="center"/>
          </w:tcPr>
          <w:p w:rsidR="00402711" w:rsidRPr="00D14EE5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402711" w:rsidRPr="003209BF">
                <w:rPr>
                  <w:rStyle w:val="Hyperlink"/>
                </w:rPr>
                <w:t>MeetGreen Sustainability</w:t>
              </w:r>
              <w:r w:rsidR="00402711" w:rsidRPr="003209BF">
                <w:rPr>
                  <w:rStyle w:val="Hyperlink"/>
                </w:rPr>
                <w:t xml:space="preserve"> </w:t>
              </w:r>
              <w:r w:rsidR="00402711" w:rsidRPr="003209BF">
                <w:rPr>
                  <w:rStyle w:val="Hyperlink"/>
                </w:rPr>
                <w:t>Policy template</w:t>
              </w:r>
            </w:hyperlink>
          </w:p>
        </w:tc>
      </w:tr>
      <w:tr w:rsidR="00402711" w:rsidTr="00861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402711" w:rsidRPr="002A049A" w:rsidRDefault="00402711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Site e</w:t>
            </w:r>
            <w:r w:rsidRPr="002A049A">
              <w:rPr>
                <w:b w:val="0"/>
              </w:rPr>
              <w:t>vent</w:t>
            </w:r>
            <w:r>
              <w:rPr>
                <w:b w:val="0"/>
              </w:rPr>
              <w:t xml:space="preserve"> </w:t>
            </w:r>
            <w:r w:rsidR="008E752A">
              <w:rPr>
                <w:b w:val="0"/>
              </w:rPr>
              <w:t>near an airport/</w:t>
            </w:r>
            <w:r w:rsidRPr="002A049A">
              <w:rPr>
                <w:b w:val="0"/>
              </w:rPr>
              <w:t>public transit to reduce travel distances and the need for automobile rentals</w:t>
            </w:r>
            <w:r w:rsidR="004B0D16">
              <w:rPr>
                <w:b w:val="0"/>
              </w:rPr>
              <w:t>,</w:t>
            </w:r>
            <w:r>
              <w:rPr>
                <w:b w:val="0"/>
              </w:rPr>
              <w:t xml:space="preserve"> and inform attendees of environmentally-preferable transit and travel options.</w:t>
            </w:r>
          </w:p>
        </w:tc>
        <w:tc>
          <w:tcPr>
            <w:tcW w:w="4122" w:type="dxa"/>
            <w:vAlign w:val="center"/>
          </w:tcPr>
          <w:p w:rsidR="00402711" w:rsidRPr="000F556A" w:rsidRDefault="006B44DD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1" w:history="1">
              <w:r w:rsidR="00402711" w:rsidRPr="000F556A">
                <w:rPr>
                  <w:rStyle w:val="Hyperlink"/>
                </w:rPr>
                <w:t>Best Places to M</w:t>
              </w:r>
              <w:r w:rsidR="00402711" w:rsidRPr="000F556A">
                <w:rPr>
                  <w:rStyle w:val="Hyperlink"/>
                </w:rPr>
                <w:t>e</w:t>
              </w:r>
              <w:r w:rsidR="00402711" w:rsidRPr="000F556A">
                <w:rPr>
                  <w:rStyle w:val="Hyperlink"/>
                </w:rPr>
                <w:t>et Green</w:t>
              </w:r>
            </w:hyperlink>
          </w:p>
        </w:tc>
      </w:tr>
      <w:tr w:rsidR="00402711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402711" w:rsidRPr="002A049A" w:rsidRDefault="00402711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 w:rsidRPr="002A049A">
              <w:rPr>
                <w:b w:val="0"/>
              </w:rPr>
              <w:t xml:space="preserve">If lodging </w:t>
            </w:r>
            <w:r>
              <w:rPr>
                <w:b w:val="0"/>
              </w:rPr>
              <w:t xml:space="preserve">and/or non-FS meeting space </w:t>
            </w:r>
            <w:r w:rsidR="00EB60E7">
              <w:rPr>
                <w:b w:val="0"/>
              </w:rPr>
              <w:t>is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>required</w:t>
            </w:r>
            <w:r w:rsidRPr="002A049A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use </w:t>
            </w:r>
            <w:r w:rsidR="009D7B09">
              <w:rPr>
                <w:b w:val="0"/>
              </w:rPr>
              <w:t>LEED or other green-certified facility and</w:t>
            </w:r>
            <w:r>
              <w:rPr>
                <w:b w:val="0"/>
              </w:rPr>
              <w:t xml:space="preserve"> encourage </w:t>
            </w:r>
            <w:r w:rsidRPr="002A049A">
              <w:rPr>
                <w:b w:val="0"/>
              </w:rPr>
              <w:t>attendees to stay at hotels certified by “green” lodging standards</w:t>
            </w:r>
            <w:r>
              <w:rPr>
                <w:b w:val="0"/>
              </w:rPr>
              <w:t>.</w:t>
            </w:r>
          </w:p>
        </w:tc>
        <w:tc>
          <w:tcPr>
            <w:tcW w:w="4122" w:type="dxa"/>
            <w:vAlign w:val="center"/>
          </w:tcPr>
          <w:p w:rsidR="009D7B09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D7B09" w:rsidRPr="009D7B09">
                <w:rPr>
                  <w:rStyle w:val="Hyperlink"/>
                </w:rPr>
                <w:t>LE</w:t>
              </w:r>
              <w:r w:rsidR="009D7B09" w:rsidRPr="009D7B09">
                <w:rPr>
                  <w:rStyle w:val="Hyperlink"/>
                </w:rPr>
                <w:t>E</w:t>
              </w:r>
              <w:r w:rsidR="009D7B09" w:rsidRPr="009D7B09">
                <w:rPr>
                  <w:rStyle w:val="Hyperlink"/>
                </w:rPr>
                <w:t>D</w:t>
              </w:r>
            </w:hyperlink>
            <w:r w:rsidR="009D7B09">
              <w:t xml:space="preserve"> (Leadership in Energy &amp; Env</w:t>
            </w:r>
            <w:r w:rsidR="00B17B31">
              <w:t>.</w:t>
            </w:r>
            <w:r w:rsidR="009D7B09">
              <w:t xml:space="preserve"> Design)</w:t>
            </w:r>
          </w:p>
          <w:p w:rsidR="00402711" w:rsidRPr="00DB57B8" w:rsidRDefault="00402711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"http://www.usgbc.org/Docs/Archive/General/Docs6275.pdf" </w:instrText>
            </w:r>
            <w:r>
              <w:fldChar w:fldCharType="separate"/>
            </w:r>
            <w:r w:rsidRPr="00DB57B8">
              <w:rPr>
                <w:rStyle w:val="Hyperlink"/>
              </w:rPr>
              <w:t>US. Green Building Counci</w:t>
            </w:r>
            <w:r w:rsidRPr="00DB57B8">
              <w:rPr>
                <w:rStyle w:val="Hyperlink"/>
              </w:rPr>
              <w:t>l</w:t>
            </w:r>
            <w:r w:rsidRPr="00DB57B8">
              <w:rPr>
                <w:rStyle w:val="Hyperlink"/>
              </w:rPr>
              <w:t xml:space="preserve"> Green Venue Selection Guide</w:t>
            </w:r>
          </w:p>
          <w:p w:rsidR="00402711" w:rsidRDefault="00402711" w:rsidP="008616DA">
            <w:pPr>
              <w:spacing w:before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fldChar w:fldCharType="end"/>
            </w:r>
            <w:r>
              <w:t xml:space="preserve">Green hotel programs: </w:t>
            </w:r>
            <w:hyperlink r:id="rId13" w:history="1">
              <w:r w:rsidRPr="004B75D7">
                <w:rPr>
                  <w:rStyle w:val="Hyperlink"/>
                  <w:bCs/>
                </w:rPr>
                <w:t>Green Se</w:t>
              </w:r>
              <w:r w:rsidRPr="004B75D7">
                <w:rPr>
                  <w:rStyle w:val="Hyperlink"/>
                  <w:bCs/>
                </w:rPr>
                <w:t>a</w:t>
              </w:r>
              <w:r w:rsidRPr="004B75D7">
                <w:rPr>
                  <w:rStyle w:val="Hyperlink"/>
                  <w:bCs/>
                </w:rPr>
                <w:t>l Lodging List</w:t>
              </w:r>
            </w:hyperlink>
            <w:r>
              <w:rPr>
                <w:rStyle w:val="Hyperlink"/>
                <w:bCs/>
              </w:rPr>
              <w:t xml:space="preserve">, </w:t>
            </w:r>
            <w:hyperlink r:id="rId14" w:history="1">
              <w:r w:rsidRPr="004B75D7">
                <w:rPr>
                  <w:rStyle w:val="Hyperlink"/>
                  <w:bCs/>
                </w:rPr>
                <w:t>Green Ke</w:t>
              </w:r>
              <w:r w:rsidRPr="004B75D7">
                <w:rPr>
                  <w:rStyle w:val="Hyperlink"/>
                  <w:bCs/>
                </w:rPr>
                <w:t>y</w:t>
              </w:r>
              <w:r w:rsidRPr="004B75D7">
                <w:rPr>
                  <w:rStyle w:val="Hyperlink"/>
                  <w:bCs/>
                </w:rPr>
                <w:t xml:space="preserve"> </w:t>
              </w:r>
              <w:r>
                <w:rPr>
                  <w:rStyle w:val="Hyperlink"/>
                  <w:bCs/>
                </w:rPr>
                <w:t xml:space="preserve">Global, </w:t>
              </w:r>
            </w:hyperlink>
            <w:hyperlink r:id="rId15" w:history="1">
              <w:r w:rsidRPr="00FF1AB5">
                <w:rPr>
                  <w:rStyle w:val="Hyperlink"/>
                  <w:bCs/>
                </w:rPr>
                <w:t>Energy St</w:t>
              </w:r>
              <w:r w:rsidRPr="00FF1AB5">
                <w:rPr>
                  <w:rStyle w:val="Hyperlink"/>
                  <w:bCs/>
                </w:rPr>
                <w:t>a</w:t>
              </w:r>
              <w:r w:rsidRPr="00FF1AB5">
                <w:rPr>
                  <w:rStyle w:val="Hyperlink"/>
                  <w:bCs/>
                </w:rPr>
                <w:t>r hotels</w:t>
              </w:r>
            </w:hyperlink>
          </w:p>
          <w:p w:rsidR="00402711" w:rsidRPr="00B23EE5" w:rsidRDefault="006B44DD" w:rsidP="002F00E9">
            <w:pPr>
              <w:spacing w:before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2F00E9">
                <w:rPr>
                  <w:rStyle w:val="Hyperlink"/>
                </w:rPr>
                <w:t>Example S</w:t>
              </w:r>
              <w:r w:rsidR="00402711" w:rsidRPr="00DB57B8">
                <w:rPr>
                  <w:rStyle w:val="Hyperlink"/>
                </w:rPr>
                <w:t xml:space="preserve">ustainable </w:t>
              </w:r>
              <w:r w:rsidR="002F00E9">
                <w:rPr>
                  <w:rStyle w:val="Hyperlink"/>
                </w:rPr>
                <w:t>V</w:t>
              </w:r>
              <w:r w:rsidR="00402711" w:rsidRPr="00DB57B8">
                <w:rPr>
                  <w:rStyle w:val="Hyperlink"/>
                </w:rPr>
                <w:t>e</w:t>
              </w:r>
              <w:r w:rsidR="00402711" w:rsidRPr="00DB57B8">
                <w:rPr>
                  <w:rStyle w:val="Hyperlink"/>
                </w:rPr>
                <w:t xml:space="preserve">nue </w:t>
              </w:r>
              <w:r w:rsidR="002F00E9">
                <w:rPr>
                  <w:rStyle w:val="Hyperlink"/>
                </w:rPr>
                <w:t>Q</w:t>
              </w:r>
              <w:r w:rsidR="00402711" w:rsidRPr="00DB57B8">
                <w:rPr>
                  <w:rStyle w:val="Hyperlink"/>
                </w:rPr>
                <w:t>uestionnaire</w:t>
              </w:r>
            </w:hyperlink>
          </w:p>
        </w:tc>
      </w:tr>
      <w:tr w:rsidR="008E752A" w:rsidTr="00C17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1258C0" w:rsidDel="00C64AA1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Ensure venue meets accessibility standards and provide for accessibility as required (e.g., sign language interpreter).</w:t>
            </w:r>
          </w:p>
        </w:tc>
        <w:tc>
          <w:tcPr>
            <w:tcW w:w="4122" w:type="dxa"/>
            <w:vAlign w:val="center"/>
          </w:tcPr>
          <w:p w:rsidR="008E752A" w:rsidRDefault="006B44DD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7" w:history="1">
              <w:r w:rsidR="008E752A" w:rsidRPr="003209BF">
                <w:rPr>
                  <w:rStyle w:val="Hyperlink"/>
                </w:rPr>
                <w:t>Guide for Accessib</w:t>
              </w:r>
              <w:r w:rsidR="008E752A" w:rsidRPr="003209BF">
                <w:rPr>
                  <w:rStyle w:val="Hyperlink"/>
                </w:rPr>
                <w:t>l</w:t>
              </w:r>
              <w:r w:rsidR="008E752A" w:rsidRPr="003209BF">
                <w:rPr>
                  <w:rStyle w:val="Hyperlink"/>
                </w:rPr>
                <w:t>e Meetings (DOJ)</w:t>
              </w:r>
            </w:hyperlink>
          </w:p>
        </w:tc>
      </w:tr>
      <w:tr w:rsidR="008E752A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9F4858" w:rsidRDefault="008E752A" w:rsidP="007130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 w:rsidRPr="009F4858">
              <w:rPr>
                <w:b w:val="0"/>
              </w:rPr>
              <w:t xml:space="preserve">Use online media </w:t>
            </w:r>
            <w:r>
              <w:rPr>
                <w:b w:val="0"/>
              </w:rPr>
              <w:t>(</w:t>
            </w:r>
            <w:r w:rsidR="00713070">
              <w:rPr>
                <w:b w:val="0"/>
              </w:rPr>
              <w:t>W</w:t>
            </w:r>
            <w:r>
              <w:rPr>
                <w:b w:val="0"/>
              </w:rPr>
              <w:t>eb</w:t>
            </w:r>
            <w:r w:rsidR="0071307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sites, email, etc.) </w:t>
            </w:r>
            <w:r w:rsidRPr="009F4858">
              <w:rPr>
                <w:b w:val="0"/>
              </w:rPr>
              <w:t xml:space="preserve">to market the event and, if relevant, for event registration (to minimize paper </w:t>
            </w:r>
            <w:r>
              <w:rPr>
                <w:b w:val="0"/>
              </w:rPr>
              <w:t>and printing</w:t>
            </w:r>
            <w:r w:rsidRPr="009F4858">
              <w:rPr>
                <w:b w:val="0"/>
              </w:rPr>
              <w:t>).</w:t>
            </w:r>
          </w:p>
        </w:tc>
        <w:tc>
          <w:tcPr>
            <w:tcW w:w="4122" w:type="dxa"/>
            <w:vAlign w:val="center"/>
          </w:tcPr>
          <w:p w:rsidR="008E752A" w:rsidRDefault="008E752A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52A" w:rsidTr="00861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M</w:t>
            </w:r>
            <w:r w:rsidRPr="002A049A">
              <w:rPr>
                <w:b w:val="0"/>
              </w:rPr>
              <w:t xml:space="preserve">inimize paper handouts and ensure all documents </w:t>
            </w:r>
            <w:r>
              <w:rPr>
                <w:b w:val="0"/>
              </w:rPr>
              <w:t xml:space="preserve">are </w:t>
            </w:r>
            <w:r w:rsidRPr="002A049A">
              <w:rPr>
                <w:b w:val="0"/>
              </w:rPr>
              <w:t xml:space="preserve">printed </w:t>
            </w:r>
            <w:r>
              <w:rPr>
                <w:b w:val="0"/>
              </w:rPr>
              <w:t>double-sided</w:t>
            </w:r>
            <w:r w:rsidRPr="002A049A">
              <w:rPr>
                <w:b w:val="0"/>
              </w:rPr>
              <w:t xml:space="preserve"> on 100% post-consumer recycled</w:t>
            </w:r>
            <w:r>
              <w:rPr>
                <w:b w:val="0"/>
              </w:rPr>
              <w:t>, chlorine-free</w:t>
            </w:r>
            <w:r w:rsidRPr="002A049A">
              <w:rPr>
                <w:b w:val="0"/>
              </w:rPr>
              <w:t xml:space="preserve"> paper</w:t>
            </w:r>
            <w:r>
              <w:rPr>
                <w:b w:val="0"/>
              </w:rPr>
              <w:t xml:space="preserve"> </w:t>
            </w:r>
            <w:r w:rsidRPr="002A049A">
              <w:rPr>
                <w:b w:val="0"/>
              </w:rPr>
              <w:t>labeled as such</w:t>
            </w:r>
            <w:r>
              <w:rPr>
                <w:b w:val="0"/>
              </w:rPr>
              <w:t xml:space="preserve">. If possible, use </w:t>
            </w:r>
            <w:r w:rsidR="00995D36">
              <w:rPr>
                <w:b w:val="0"/>
              </w:rPr>
              <w:t>B</w:t>
            </w:r>
            <w:r>
              <w:rPr>
                <w:b w:val="0"/>
              </w:rPr>
              <w:t>iobased inks.</w:t>
            </w:r>
          </w:p>
        </w:tc>
        <w:tc>
          <w:tcPr>
            <w:tcW w:w="4122" w:type="dxa"/>
            <w:vAlign w:val="center"/>
          </w:tcPr>
          <w:p w:rsidR="008E752A" w:rsidRPr="00277B55" w:rsidRDefault="006B44DD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8E752A" w:rsidRPr="00277B55">
                <w:rPr>
                  <w:rStyle w:val="Hyperlink"/>
                </w:rPr>
                <w:t xml:space="preserve">EPA Paper </w:t>
              </w:r>
              <w:r w:rsidR="008E752A" w:rsidRPr="00277B55">
                <w:rPr>
                  <w:rStyle w:val="Hyperlink"/>
                </w:rPr>
                <w:t>R</w:t>
              </w:r>
              <w:r w:rsidR="008E752A" w:rsidRPr="00277B55">
                <w:rPr>
                  <w:rStyle w:val="Hyperlink"/>
                </w:rPr>
                <w:t>ecycling</w:t>
              </w:r>
            </w:hyperlink>
          </w:p>
        </w:tc>
      </w:tr>
      <w:tr w:rsidR="008E752A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If food is provided, purchase locally-</w:t>
            </w:r>
            <w:r w:rsidRPr="002A049A">
              <w:rPr>
                <w:b w:val="0"/>
              </w:rPr>
              <w:t>produced</w:t>
            </w:r>
            <w:r>
              <w:rPr>
                <w:b w:val="0"/>
              </w:rPr>
              <w:t>,</w:t>
            </w:r>
            <w:r w:rsidRPr="002A049A">
              <w:rPr>
                <w:b w:val="0"/>
              </w:rPr>
              <w:t xml:space="preserve"> organic</w:t>
            </w:r>
            <w:r>
              <w:rPr>
                <w:b w:val="0"/>
              </w:rPr>
              <w:t>/</w:t>
            </w:r>
            <w:r w:rsidRPr="002A049A">
              <w:rPr>
                <w:b w:val="0"/>
              </w:rPr>
              <w:t xml:space="preserve"> sus</w:t>
            </w:r>
            <w:r>
              <w:rPr>
                <w:b w:val="0"/>
              </w:rPr>
              <w:t>tainably-produced food and provide vegetarian options.</w:t>
            </w:r>
            <w:r w:rsidRPr="002A049A">
              <w:rPr>
                <w:b w:val="0"/>
              </w:rPr>
              <w:t xml:space="preserve">  </w:t>
            </w:r>
          </w:p>
        </w:tc>
        <w:tc>
          <w:tcPr>
            <w:tcW w:w="4122" w:type="dxa"/>
            <w:vAlign w:val="center"/>
          </w:tcPr>
          <w:p w:rsidR="008E752A" w:rsidRPr="00402711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8E752A" w:rsidRPr="008D282B">
                <w:rPr>
                  <w:rStyle w:val="Hyperlink"/>
                </w:rPr>
                <w:t>Local Har</w:t>
              </w:r>
              <w:r w:rsidR="008E752A" w:rsidRPr="008D282B">
                <w:rPr>
                  <w:rStyle w:val="Hyperlink"/>
                </w:rPr>
                <w:t>v</w:t>
              </w:r>
              <w:r w:rsidR="008E752A" w:rsidRPr="008D282B">
                <w:rPr>
                  <w:rStyle w:val="Hyperlink"/>
                </w:rPr>
                <w:t>est</w:t>
              </w:r>
            </w:hyperlink>
            <w:r w:rsidR="008E752A">
              <w:tab/>
            </w:r>
          </w:p>
        </w:tc>
      </w:tr>
      <w:tr w:rsidR="008E752A" w:rsidTr="00861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Del="00E63568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Provide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condiments, etc. in bulk serving containers </w:t>
            </w:r>
            <w:r w:rsidRPr="002A049A">
              <w:rPr>
                <w:b w:val="0"/>
              </w:rPr>
              <w:t>to minimize</w:t>
            </w:r>
            <w:r>
              <w:rPr>
                <w:b w:val="0"/>
              </w:rPr>
              <w:t xml:space="preserve"> individual</w:t>
            </w:r>
            <w:r w:rsidRPr="002A049A">
              <w:rPr>
                <w:b w:val="0"/>
              </w:rPr>
              <w:t xml:space="preserve"> packaging</w:t>
            </w:r>
            <w:r>
              <w:rPr>
                <w:b w:val="0"/>
              </w:rPr>
              <w:t>.</w:t>
            </w:r>
          </w:p>
        </w:tc>
        <w:tc>
          <w:tcPr>
            <w:tcW w:w="4122" w:type="dxa"/>
            <w:vAlign w:val="center"/>
          </w:tcPr>
          <w:p w:rsidR="008E752A" w:rsidRPr="004B75D7" w:rsidRDefault="008E752A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E752A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Pr="002A049A">
              <w:rPr>
                <w:b w:val="0"/>
              </w:rPr>
              <w:t>s</w:t>
            </w:r>
            <w:r>
              <w:rPr>
                <w:b w:val="0"/>
              </w:rPr>
              <w:t>e</w:t>
            </w:r>
            <w:r w:rsidRPr="002A049A">
              <w:rPr>
                <w:b w:val="0"/>
              </w:rPr>
              <w:t xml:space="preserve"> reusable </w:t>
            </w:r>
            <w:r>
              <w:rPr>
                <w:b w:val="0"/>
              </w:rPr>
              <w:t xml:space="preserve">dishes, utensils, and cloth napkins. If reusable options are not feasible, use </w:t>
            </w:r>
            <w:r w:rsidR="00971319">
              <w:rPr>
                <w:b w:val="0"/>
              </w:rPr>
              <w:t>B</w:t>
            </w:r>
            <w:r>
              <w:rPr>
                <w:b w:val="0"/>
              </w:rPr>
              <w:t>iobased or BioPreferred products.</w:t>
            </w:r>
          </w:p>
        </w:tc>
        <w:tc>
          <w:tcPr>
            <w:tcW w:w="4122" w:type="dxa"/>
            <w:vAlign w:val="center"/>
          </w:tcPr>
          <w:p w:rsidR="008E752A" w:rsidRPr="00CA3346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8E752A">
                <w:rPr>
                  <w:rStyle w:val="Hyperlink"/>
                </w:rPr>
                <w:t>USDA BioPrefer</w:t>
              </w:r>
              <w:r w:rsidR="008E752A">
                <w:rPr>
                  <w:rStyle w:val="Hyperlink"/>
                </w:rPr>
                <w:t>r</w:t>
              </w:r>
              <w:r w:rsidR="008E752A">
                <w:rPr>
                  <w:rStyle w:val="Hyperlink"/>
                </w:rPr>
                <w:t>ed P</w:t>
              </w:r>
              <w:r w:rsidR="008E752A" w:rsidRPr="00CA3346">
                <w:rPr>
                  <w:rStyle w:val="Hyperlink"/>
                </w:rPr>
                <w:t>rogram</w:t>
              </w:r>
            </w:hyperlink>
          </w:p>
        </w:tc>
      </w:tr>
      <w:tr w:rsidR="008E752A" w:rsidTr="00861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Provide r</w:t>
            </w:r>
            <w:r w:rsidRPr="002A049A">
              <w:rPr>
                <w:b w:val="0"/>
              </w:rPr>
              <w:t xml:space="preserve">ecycling and composting </w:t>
            </w:r>
            <w:r>
              <w:rPr>
                <w:b w:val="0"/>
              </w:rPr>
              <w:t>bins in meeting rooms.</w:t>
            </w:r>
          </w:p>
        </w:tc>
        <w:tc>
          <w:tcPr>
            <w:tcW w:w="4122" w:type="dxa"/>
            <w:vAlign w:val="center"/>
          </w:tcPr>
          <w:p w:rsidR="008E752A" w:rsidRPr="000F556A" w:rsidRDefault="006B44DD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1" w:history="1">
              <w:r w:rsidR="008E752A" w:rsidRPr="000F556A">
                <w:rPr>
                  <w:rStyle w:val="Hyperlink"/>
                </w:rPr>
                <w:t>National Recycling Coal</w:t>
              </w:r>
              <w:r w:rsidR="008E752A" w:rsidRPr="000F556A">
                <w:rPr>
                  <w:rStyle w:val="Hyperlink"/>
                </w:rPr>
                <w:t>i</w:t>
              </w:r>
              <w:r w:rsidR="008E752A" w:rsidRPr="000F556A">
                <w:rPr>
                  <w:rStyle w:val="Hyperlink"/>
                </w:rPr>
                <w:t>tion Green Meeting Reference</w:t>
              </w:r>
            </w:hyperlink>
          </w:p>
        </w:tc>
      </w:tr>
      <w:tr w:rsidR="008E752A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b w:val="0"/>
              </w:rPr>
              <w:t>A</w:t>
            </w:r>
            <w:r w:rsidRPr="002A049A">
              <w:rPr>
                <w:b w:val="0"/>
              </w:rPr>
              <w:t xml:space="preserve">rrange to </w:t>
            </w:r>
            <w:r>
              <w:rPr>
                <w:b w:val="0"/>
              </w:rPr>
              <w:t>donate</w:t>
            </w:r>
            <w:r w:rsidRPr="002A049A">
              <w:rPr>
                <w:b w:val="0"/>
              </w:rPr>
              <w:t xml:space="preserve"> leftover food to a nonprofit (or other</w:t>
            </w:r>
            <w:r>
              <w:rPr>
                <w:b w:val="0"/>
              </w:rPr>
              <w:t>) organization</w:t>
            </w:r>
            <w:r w:rsidRPr="002A049A">
              <w:rPr>
                <w:b w:val="0"/>
              </w:rPr>
              <w:t xml:space="preserve"> after the event</w:t>
            </w:r>
            <w:r>
              <w:rPr>
                <w:b w:val="0"/>
              </w:rPr>
              <w:t xml:space="preserve"> (otherwise compost food waste).</w:t>
            </w:r>
          </w:p>
        </w:tc>
        <w:tc>
          <w:tcPr>
            <w:tcW w:w="4122" w:type="dxa"/>
            <w:vAlign w:val="center"/>
          </w:tcPr>
          <w:p w:rsidR="008E752A" w:rsidRPr="00277B55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DE3039">
                <w:rPr>
                  <w:rStyle w:val="Hyperlink"/>
                </w:rPr>
                <w:t>EPA Sustain</w:t>
              </w:r>
              <w:r w:rsidR="00DE3039">
                <w:rPr>
                  <w:rStyle w:val="Hyperlink"/>
                </w:rPr>
                <w:t>a</w:t>
              </w:r>
              <w:r w:rsidR="00DE3039">
                <w:rPr>
                  <w:rStyle w:val="Hyperlink"/>
                </w:rPr>
                <w:t>ble Management of Food Site</w:t>
              </w:r>
            </w:hyperlink>
          </w:p>
        </w:tc>
      </w:tr>
      <w:tr w:rsidR="008E752A" w:rsidTr="00861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rFonts w:ascii="Calibri" w:hAnsi="Calibri"/>
                <w:b w:val="0"/>
              </w:rPr>
            </w:pPr>
            <w:r>
              <w:rPr>
                <w:b w:val="0"/>
              </w:rPr>
              <w:t xml:space="preserve">Use an </w:t>
            </w:r>
            <w:r w:rsidRPr="001475B3">
              <w:rPr>
                <w:b w:val="0"/>
              </w:rPr>
              <w:t>electronic</w:t>
            </w:r>
            <w:r>
              <w:rPr>
                <w:b w:val="0"/>
              </w:rPr>
              <w:t xml:space="preserve"> evaluation</w:t>
            </w:r>
            <w:r w:rsidRPr="002A049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format for participants </w:t>
            </w:r>
            <w:r w:rsidRPr="002A049A">
              <w:rPr>
                <w:b w:val="0"/>
              </w:rPr>
              <w:t xml:space="preserve">to </w:t>
            </w:r>
            <w:r>
              <w:rPr>
                <w:b w:val="0"/>
              </w:rPr>
              <w:t xml:space="preserve">provide </w:t>
            </w:r>
            <w:r w:rsidRPr="002A049A">
              <w:rPr>
                <w:b w:val="0"/>
              </w:rPr>
              <w:t>feedbac</w:t>
            </w:r>
            <w:r>
              <w:rPr>
                <w:b w:val="0"/>
              </w:rPr>
              <w:t>k after the event (and to reduce paper evaluations).</w:t>
            </w:r>
          </w:p>
        </w:tc>
        <w:tc>
          <w:tcPr>
            <w:tcW w:w="4122" w:type="dxa"/>
            <w:vAlign w:val="center"/>
          </w:tcPr>
          <w:p w:rsidR="008E752A" w:rsidRDefault="008616FC" w:rsidP="008616D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See instructions in the </w:t>
            </w:r>
            <w:hyperlink r:id="rId23" w:history="1">
              <w:r w:rsidRPr="008616FC">
                <w:rPr>
                  <w:rStyle w:val="Hyperlink"/>
                </w:rPr>
                <w:t>FS Green Event Feedback Form</w:t>
              </w:r>
            </w:hyperlink>
          </w:p>
        </w:tc>
      </w:tr>
      <w:tr w:rsidR="008E752A" w:rsidTr="0086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</w:tcPr>
          <w:p w:rsidR="008E752A" w:rsidRPr="002A049A" w:rsidRDefault="008E752A" w:rsidP="008A3370">
            <w:pPr>
              <w:pStyle w:val="ListParagraph"/>
              <w:numPr>
                <w:ilvl w:val="0"/>
                <w:numId w:val="3"/>
              </w:numPr>
              <w:spacing w:before="40" w:after="40"/>
              <w:ind w:left="360"/>
              <w:jc w:val="left"/>
              <w:rPr>
                <w:b w:val="0"/>
              </w:rPr>
            </w:pPr>
            <w:r>
              <w:rPr>
                <w:rFonts w:ascii="Calibri" w:hAnsi="Calibri"/>
                <w:b w:val="0"/>
              </w:rPr>
              <w:t>Share</w:t>
            </w:r>
            <w:r w:rsidRPr="002A049A">
              <w:rPr>
                <w:rFonts w:ascii="Calibri" w:hAnsi="Calibri"/>
                <w:b w:val="0"/>
              </w:rPr>
              <w:t xml:space="preserve"> successes, barriers, and challenges to meet and implement the </w:t>
            </w:r>
            <w:r>
              <w:rPr>
                <w:rFonts w:ascii="Calibri" w:hAnsi="Calibri"/>
                <w:b w:val="0"/>
              </w:rPr>
              <w:t xml:space="preserve">actions </w:t>
            </w:r>
            <w:r w:rsidR="004B0D16">
              <w:rPr>
                <w:rFonts w:ascii="Calibri" w:hAnsi="Calibri"/>
                <w:b w:val="0"/>
              </w:rPr>
              <w:t xml:space="preserve">in </w:t>
            </w:r>
            <w:r>
              <w:rPr>
                <w:rFonts w:ascii="Calibri" w:hAnsi="Calibri"/>
                <w:b w:val="0"/>
              </w:rPr>
              <w:t>this checklist</w:t>
            </w:r>
            <w:r w:rsidR="004B0D16">
              <w:rPr>
                <w:rFonts w:ascii="Calibri" w:hAnsi="Calibri"/>
                <w:b w:val="0"/>
              </w:rPr>
              <w:t>,</w:t>
            </w:r>
            <w:r>
              <w:rPr>
                <w:rFonts w:ascii="Calibri" w:hAnsi="Calibri"/>
                <w:b w:val="0"/>
              </w:rPr>
              <w:t xml:space="preserve"> so others can learn from your efforts.</w:t>
            </w:r>
          </w:p>
        </w:tc>
        <w:tc>
          <w:tcPr>
            <w:tcW w:w="4122" w:type="dxa"/>
            <w:vAlign w:val="center"/>
          </w:tcPr>
          <w:p w:rsidR="008E752A" w:rsidRPr="00CA3346" w:rsidRDefault="006B44DD" w:rsidP="008616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01C18" w:rsidRPr="001475B3">
                <w:rPr>
                  <w:rStyle w:val="Hyperlink"/>
                </w:rPr>
                <w:t xml:space="preserve">FS </w:t>
              </w:r>
              <w:r w:rsidR="008E752A" w:rsidRPr="001475B3">
                <w:rPr>
                  <w:rStyle w:val="Hyperlink"/>
                </w:rPr>
                <w:t>Green Event Feedback Form</w:t>
              </w:r>
            </w:hyperlink>
          </w:p>
        </w:tc>
      </w:tr>
    </w:tbl>
    <w:p w:rsidR="00104201" w:rsidRPr="00104201" w:rsidRDefault="00104201" w:rsidP="001475B3">
      <w:pPr>
        <w:jc w:val="left"/>
        <w:rPr>
          <w:b/>
          <w:sz w:val="28"/>
          <w:szCs w:val="28"/>
        </w:rPr>
      </w:pPr>
    </w:p>
    <w:sectPr w:rsidR="00104201" w:rsidRPr="00104201" w:rsidSect="00D51585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DD" w:rsidRDefault="006B44DD" w:rsidP="00314114">
      <w:r>
        <w:separator/>
      </w:r>
    </w:p>
  </w:endnote>
  <w:endnote w:type="continuationSeparator" w:id="0">
    <w:p w:rsidR="006B44DD" w:rsidRDefault="006B44DD" w:rsidP="003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DD" w:rsidRDefault="006B44DD" w:rsidP="00314114">
      <w:r>
        <w:separator/>
      </w:r>
    </w:p>
  </w:footnote>
  <w:footnote w:type="continuationSeparator" w:id="0">
    <w:p w:rsidR="006B44DD" w:rsidRDefault="006B44DD" w:rsidP="0031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DE"/>
    <w:multiLevelType w:val="hybridMultilevel"/>
    <w:tmpl w:val="FBA800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A77A6"/>
    <w:multiLevelType w:val="hybridMultilevel"/>
    <w:tmpl w:val="FB5ECC2E"/>
    <w:lvl w:ilvl="0" w:tplc="86F29C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AEF0BC9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21D"/>
    <w:multiLevelType w:val="hybridMultilevel"/>
    <w:tmpl w:val="CC0688DE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36BCD"/>
    <w:multiLevelType w:val="hybridMultilevel"/>
    <w:tmpl w:val="EECE0604"/>
    <w:lvl w:ilvl="0" w:tplc="B1FCA49C">
      <w:start w:val="1"/>
      <w:numFmt w:val="bullet"/>
      <w:lvlText w:val=""/>
      <w:lvlJc w:val="left"/>
      <w:pPr>
        <w:ind w:left="4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59B5D71"/>
    <w:multiLevelType w:val="hybridMultilevel"/>
    <w:tmpl w:val="F1562442"/>
    <w:lvl w:ilvl="0" w:tplc="B1FCA4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265"/>
    <w:multiLevelType w:val="hybridMultilevel"/>
    <w:tmpl w:val="A040593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A02FC"/>
    <w:multiLevelType w:val="hybridMultilevel"/>
    <w:tmpl w:val="E80EFB7C"/>
    <w:lvl w:ilvl="0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061B2"/>
    <w:multiLevelType w:val="hybridMultilevel"/>
    <w:tmpl w:val="66CC02DA"/>
    <w:lvl w:ilvl="0" w:tplc="AD98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B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CD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AA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6A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C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0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21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E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01658B"/>
    <w:multiLevelType w:val="hybridMultilevel"/>
    <w:tmpl w:val="C018E240"/>
    <w:lvl w:ilvl="0" w:tplc="B1FCA4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4"/>
    <w:rsid w:val="000079F2"/>
    <w:rsid w:val="000150E7"/>
    <w:rsid w:val="00031F86"/>
    <w:rsid w:val="00040244"/>
    <w:rsid w:val="000423DB"/>
    <w:rsid w:val="000847AD"/>
    <w:rsid w:val="000A5BE3"/>
    <w:rsid w:val="000E1874"/>
    <w:rsid w:val="000E34DE"/>
    <w:rsid w:val="000F23A7"/>
    <w:rsid w:val="000F556A"/>
    <w:rsid w:val="00104201"/>
    <w:rsid w:val="001234FF"/>
    <w:rsid w:val="001258C0"/>
    <w:rsid w:val="001475B3"/>
    <w:rsid w:val="00162AC6"/>
    <w:rsid w:val="001A41B7"/>
    <w:rsid w:val="001C4529"/>
    <w:rsid w:val="0024737F"/>
    <w:rsid w:val="00270B7E"/>
    <w:rsid w:val="00277B55"/>
    <w:rsid w:val="002A049A"/>
    <w:rsid w:val="002F00E9"/>
    <w:rsid w:val="003020C6"/>
    <w:rsid w:val="00314114"/>
    <w:rsid w:val="003209BF"/>
    <w:rsid w:val="00321201"/>
    <w:rsid w:val="003214A0"/>
    <w:rsid w:val="00340335"/>
    <w:rsid w:val="00354E29"/>
    <w:rsid w:val="00366C89"/>
    <w:rsid w:val="003A41C2"/>
    <w:rsid w:val="00402711"/>
    <w:rsid w:val="00422A37"/>
    <w:rsid w:val="00423566"/>
    <w:rsid w:val="004771BF"/>
    <w:rsid w:val="00496B25"/>
    <w:rsid w:val="004B0D16"/>
    <w:rsid w:val="004B75D7"/>
    <w:rsid w:val="004C35CC"/>
    <w:rsid w:val="00527249"/>
    <w:rsid w:val="005412C0"/>
    <w:rsid w:val="005457D1"/>
    <w:rsid w:val="00550F17"/>
    <w:rsid w:val="00565C7A"/>
    <w:rsid w:val="005B799E"/>
    <w:rsid w:val="005C6C68"/>
    <w:rsid w:val="005E3CE2"/>
    <w:rsid w:val="00613396"/>
    <w:rsid w:val="006176C7"/>
    <w:rsid w:val="0063167A"/>
    <w:rsid w:val="00634305"/>
    <w:rsid w:val="00645972"/>
    <w:rsid w:val="00672813"/>
    <w:rsid w:val="0069594B"/>
    <w:rsid w:val="006B44DD"/>
    <w:rsid w:val="00713070"/>
    <w:rsid w:val="00720442"/>
    <w:rsid w:val="007238D9"/>
    <w:rsid w:val="00736507"/>
    <w:rsid w:val="00745268"/>
    <w:rsid w:val="00784CDE"/>
    <w:rsid w:val="0079626F"/>
    <w:rsid w:val="007C1C0C"/>
    <w:rsid w:val="007D4B63"/>
    <w:rsid w:val="007F4E03"/>
    <w:rsid w:val="00801C18"/>
    <w:rsid w:val="0082125D"/>
    <w:rsid w:val="0085175A"/>
    <w:rsid w:val="008616DA"/>
    <w:rsid w:val="008616FC"/>
    <w:rsid w:val="008871D4"/>
    <w:rsid w:val="00890850"/>
    <w:rsid w:val="008A3370"/>
    <w:rsid w:val="008D282B"/>
    <w:rsid w:val="008E05AA"/>
    <w:rsid w:val="008E704D"/>
    <w:rsid w:val="008E752A"/>
    <w:rsid w:val="008F030E"/>
    <w:rsid w:val="008F1988"/>
    <w:rsid w:val="00914CA8"/>
    <w:rsid w:val="009310E4"/>
    <w:rsid w:val="009515BB"/>
    <w:rsid w:val="00951B8C"/>
    <w:rsid w:val="00971319"/>
    <w:rsid w:val="00995D36"/>
    <w:rsid w:val="009B32B5"/>
    <w:rsid w:val="009C07D9"/>
    <w:rsid w:val="009C12AD"/>
    <w:rsid w:val="009D6042"/>
    <w:rsid w:val="009D75FB"/>
    <w:rsid w:val="009D7B09"/>
    <w:rsid w:val="009E296E"/>
    <w:rsid w:val="009F4858"/>
    <w:rsid w:val="00A0754E"/>
    <w:rsid w:val="00A07946"/>
    <w:rsid w:val="00A41157"/>
    <w:rsid w:val="00A61563"/>
    <w:rsid w:val="00A6286B"/>
    <w:rsid w:val="00A76426"/>
    <w:rsid w:val="00AB1FA9"/>
    <w:rsid w:val="00AB5088"/>
    <w:rsid w:val="00AB77C6"/>
    <w:rsid w:val="00AC258A"/>
    <w:rsid w:val="00AC696B"/>
    <w:rsid w:val="00B17B31"/>
    <w:rsid w:val="00B23EE5"/>
    <w:rsid w:val="00B24A5B"/>
    <w:rsid w:val="00B43852"/>
    <w:rsid w:val="00B54F0A"/>
    <w:rsid w:val="00B710C1"/>
    <w:rsid w:val="00C170E3"/>
    <w:rsid w:val="00C64AA1"/>
    <w:rsid w:val="00C838AC"/>
    <w:rsid w:val="00C8743C"/>
    <w:rsid w:val="00CA3346"/>
    <w:rsid w:val="00CF1CC6"/>
    <w:rsid w:val="00D10E37"/>
    <w:rsid w:val="00D14EE5"/>
    <w:rsid w:val="00D24731"/>
    <w:rsid w:val="00D27852"/>
    <w:rsid w:val="00D45CCE"/>
    <w:rsid w:val="00D51585"/>
    <w:rsid w:val="00D61C14"/>
    <w:rsid w:val="00D67076"/>
    <w:rsid w:val="00D867F6"/>
    <w:rsid w:val="00D906D1"/>
    <w:rsid w:val="00D9392C"/>
    <w:rsid w:val="00DA03AA"/>
    <w:rsid w:val="00DA6CD4"/>
    <w:rsid w:val="00DB1C8F"/>
    <w:rsid w:val="00DB57B8"/>
    <w:rsid w:val="00DC291F"/>
    <w:rsid w:val="00DC5201"/>
    <w:rsid w:val="00DE3039"/>
    <w:rsid w:val="00DF1949"/>
    <w:rsid w:val="00E04890"/>
    <w:rsid w:val="00E54615"/>
    <w:rsid w:val="00E63568"/>
    <w:rsid w:val="00E83A2B"/>
    <w:rsid w:val="00EB3291"/>
    <w:rsid w:val="00EB60E7"/>
    <w:rsid w:val="00EF53A9"/>
    <w:rsid w:val="00EF7F94"/>
    <w:rsid w:val="00F14990"/>
    <w:rsid w:val="00F16319"/>
    <w:rsid w:val="00F31287"/>
    <w:rsid w:val="00F34878"/>
    <w:rsid w:val="00F93EB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3F2DB-3401-4992-86E1-6759178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7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314114"/>
  </w:style>
  <w:style w:type="paragraph" w:styleId="FootnoteText">
    <w:name w:val="footnote text"/>
    <w:basedOn w:val="Normal"/>
    <w:link w:val="FootnoteTextChar"/>
    <w:semiHidden/>
    <w:rsid w:val="0031411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4114"/>
    <w:rPr>
      <w:rFonts w:ascii="Times New Roman" w:eastAsia="Times New Roman" w:hAnsi="Times New Roman" w:cs="Times New Roman"/>
      <w:sz w:val="20"/>
      <w:szCs w:val="20"/>
    </w:rPr>
  </w:style>
  <w:style w:type="table" w:styleId="MediumShading1-Accent3">
    <w:name w:val="Medium Shading 1 Accent 3"/>
    <w:basedOn w:val="TableNormal"/>
    <w:uiPriority w:val="63"/>
    <w:rsid w:val="0031411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520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238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049A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5E3CE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4B0D1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about-agency/greening-your-events" TargetMode="External"/><Relationship Id="rId13" Type="http://schemas.openxmlformats.org/officeDocument/2006/relationships/hyperlink" Target="http://www.greenseal.org/FindGreenSealProductsandServices/HotelsandLodgingProperties.aspx" TargetMode="External"/><Relationship Id="rId18" Type="http://schemas.openxmlformats.org/officeDocument/2006/relationships/hyperlink" Target="http://www3.epa.gov/epawaste/conserve/tools/cpg/products/paperproducts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s.fed.us/sustainableoperations/greenteam-toolkit/documents/NationalRecyclingCollolitionGreenMeetingsReference.pdf" TargetMode="External"/><Relationship Id="rId7" Type="http://schemas.openxmlformats.org/officeDocument/2006/relationships/hyperlink" Target="https://www.federalregister.gov/articles/2015/03/25/2015-07016/planning-for-federal-sustainability-in-the-next-decade" TargetMode="External"/><Relationship Id="rId12" Type="http://schemas.openxmlformats.org/officeDocument/2006/relationships/hyperlink" Target="http://www.usgbc.org/LEED/" TargetMode="External"/><Relationship Id="rId17" Type="http://schemas.openxmlformats.org/officeDocument/2006/relationships/hyperlink" Target="http://www.ada.gov/business/accessiblemtg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2.aashe.org/heasc/resources/sus_meetings/Sustainable_Meetings_and_Conferences_Questionnaire-June_07.doc" TargetMode="External"/><Relationship Id="rId20" Type="http://schemas.openxmlformats.org/officeDocument/2006/relationships/hyperlink" Target="http://www.biopreferred.gov/BioPreferre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lacestomeetgreen.com/" TargetMode="External"/><Relationship Id="rId24" Type="http://schemas.openxmlformats.org/officeDocument/2006/relationships/hyperlink" Target="http://www.fs.fed.us/sites/default/files/green-event-feedback-form-v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gystar.gov/index.cfm?fuseaction=labeled_buildings.locator" TargetMode="External"/><Relationship Id="rId23" Type="http://schemas.openxmlformats.org/officeDocument/2006/relationships/hyperlink" Target="http://www.fs.fed.us/sites/default/files/green-event-feedback-form-v1.pdf" TargetMode="External"/><Relationship Id="rId10" Type="http://schemas.openxmlformats.org/officeDocument/2006/relationships/hyperlink" Target="http://meetgreen.com/resources/sustainability-policy-template/" TargetMode="External"/><Relationship Id="rId19" Type="http://schemas.openxmlformats.org/officeDocument/2006/relationships/hyperlink" Target="http://www.localharve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.fed.us/sites/default/files/green-event-feedback-form-v1.pdf" TargetMode="External"/><Relationship Id="rId14" Type="http://schemas.openxmlformats.org/officeDocument/2006/relationships/hyperlink" Target="http://www.greenkeyglobal.com/" TargetMode="External"/><Relationship Id="rId22" Type="http://schemas.openxmlformats.org/officeDocument/2006/relationships/hyperlink" Target="http://www2.epa.gov/sustainable-management-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 Checklist for Planning Green Onsite Events</vt:lpstr>
    </vt:vector>
  </TitlesOfParts>
  <Company>Forest Service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Checklist for Planning Green Onsite Events</dc:title>
  <dc:creator>USDA Forest Service</dc:creator>
  <cp:lastModifiedBy>Wormstead, Sherri J -FS</cp:lastModifiedBy>
  <cp:revision>5</cp:revision>
  <dcterms:created xsi:type="dcterms:W3CDTF">2016-04-11T22:17:00Z</dcterms:created>
  <dcterms:modified xsi:type="dcterms:W3CDTF">2016-04-12T18:40:00Z</dcterms:modified>
</cp:coreProperties>
</file>